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01957"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1AFB4282"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2B1A62A4"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723170DD"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0BB004EB"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33088D0F"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409E43A0"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00954C49"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55DFFBDD"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5BF945B5"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261B4348" w14:textId="77777777" w:rsidR="00573400" w:rsidRDefault="00573400" w:rsidP="00573400">
      <w:pPr>
        <w:widowControl w:val="0"/>
        <w:spacing w:after="0" w:line="480" w:lineRule="auto"/>
        <w:contextualSpacing/>
        <w:jc w:val="center"/>
        <w:rPr>
          <w:rFonts w:ascii="Times New Roman" w:hAnsi="Times New Roman" w:cs="Times New Roman"/>
          <w:sz w:val="24"/>
          <w:szCs w:val="24"/>
        </w:rPr>
      </w:pPr>
    </w:p>
    <w:p w14:paraId="52BCF0F1" w14:textId="04F42AD1" w:rsidR="00573400" w:rsidRDefault="00573400" w:rsidP="00573400">
      <w:pPr>
        <w:widowControl w:val="0"/>
        <w:spacing w:after="0" w:line="480" w:lineRule="auto"/>
        <w:contextualSpacing/>
        <w:jc w:val="center"/>
        <w:rPr>
          <w:rFonts w:ascii="Times New Roman" w:hAnsi="Times New Roman" w:cs="Times New Roman"/>
          <w:sz w:val="24"/>
          <w:szCs w:val="24"/>
        </w:rPr>
      </w:pPr>
      <w:r w:rsidRPr="00D85929">
        <w:rPr>
          <w:rFonts w:ascii="Times New Roman" w:hAnsi="Times New Roman" w:cs="Times New Roman"/>
          <w:sz w:val="24"/>
          <w:szCs w:val="24"/>
        </w:rPr>
        <w:t>Case 3: YUM Brands Segments and Common-Size Analysis</w:t>
      </w:r>
    </w:p>
    <w:p w14:paraId="462EA0F2" w14:textId="417C6987" w:rsidR="00573400" w:rsidRDefault="00573400" w:rsidP="00573400">
      <w:pPr>
        <w:widowControl w:val="0"/>
        <w:spacing w:after="0" w:line="480" w:lineRule="auto"/>
        <w:contextualSpacing/>
        <w:jc w:val="center"/>
        <w:rPr>
          <w:rFonts w:ascii="Times New Roman" w:hAnsi="Times New Roman" w:cs="Times New Roman"/>
          <w:sz w:val="24"/>
          <w:szCs w:val="24"/>
        </w:rPr>
      </w:pPr>
      <w:r>
        <w:rPr>
          <w:rFonts w:ascii="Times New Roman" w:hAnsi="Times New Roman" w:cs="Times New Roman"/>
          <w:sz w:val="24"/>
          <w:szCs w:val="24"/>
        </w:rPr>
        <w:t>Student Name</w:t>
      </w:r>
    </w:p>
    <w:p w14:paraId="5CE93EFA" w14:textId="7229A800" w:rsidR="00573400" w:rsidRPr="00D85929" w:rsidRDefault="00573400" w:rsidP="00573400">
      <w:pPr>
        <w:widowControl w:val="0"/>
        <w:spacing w:after="0" w:line="480" w:lineRule="auto"/>
        <w:contextualSpacing/>
        <w:jc w:val="center"/>
        <w:rPr>
          <w:rFonts w:ascii="Times New Roman" w:hAnsi="Times New Roman" w:cs="Times New Roman"/>
          <w:sz w:val="24"/>
          <w:szCs w:val="24"/>
        </w:rPr>
      </w:pPr>
      <w:r>
        <w:rPr>
          <w:rFonts w:ascii="Times New Roman" w:hAnsi="Times New Roman" w:cs="Times New Roman"/>
          <w:sz w:val="24"/>
          <w:szCs w:val="24"/>
        </w:rPr>
        <w:t>Name of Institution</w:t>
      </w:r>
    </w:p>
    <w:p w14:paraId="10A63145" w14:textId="77777777" w:rsidR="00573400" w:rsidRDefault="00573400">
      <w:pPr>
        <w:rPr>
          <w:rFonts w:ascii="Times New Roman" w:hAnsi="Times New Roman" w:cs="Times New Roman"/>
          <w:sz w:val="24"/>
          <w:szCs w:val="24"/>
        </w:rPr>
      </w:pPr>
      <w:r>
        <w:rPr>
          <w:rFonts w:ascii="Times New Roman" w:hAnsi="Times New Roman" w:cs="Times New Roman"/>
          <w:sz w:val="24"/>
          <w:szCs w:val="24"/>
        </w:rPr>
        <w:br w:type="page"/>
      </w:r>
    </w:p>
    <w:p w14:paraId="4E643B52" w14:textId="5AA1EA4B" w:rsidR="00D45B52" w:rsidRPr="00D85929" w:rsidRDefault="0099039C" w:rsidP="00DC6732">
      <w:pPr>
        <w:widowControl w:val="0"/>
        <w:spacing w:after="0" w:line="480" w:lineRule="auto"/>
        <w:contextualSpacing/>
        <w:jc w:val="center"/>
        <w:rPr>
          <w:rFonts w:ascii="Times New Roman" w:hAnsi="Times New Roman" w:cs="Times New Roman"/>
          <w:sz w:val="24"/>
          <w:szCs w:val="24"/>
        </w:rPr>
      </w:pPr>
      <w:r w:rsidRPr="00D85929">
        <w:rPr>
          <w:rFonts w:ascii="Times New Roman" w:hAnsi="Times New Roman" w:cs="Times New Roman"/>
          <w:sz w:val="24"/>
          <w:szCs w:val="24"/>
        </w:rPr>
        <w:lastRenderedPageBreak/>
        <w:t>Case 3: YUM Brands Segments and Common-Size Analysis</w:t>
      </w:r>
    </w:p>
    <w:p w14:paraId="24C47BBC" w14:textId="61ACEBAF" w:rsidR="00B83D8F" w:rsidRPr="00D85929" w:rsidRDefault="00B83D8F" w:rsidP="00DC6732">
      <w:pPr>
        <w:widowControl w:val="0"/>
        <w:spacing w:after="0" w:line="480" w:lineRule="auto"/>
        <w:contextualSpacing/>
        <w:rPr>
          <w:rFonts w:ascii="Times New Roman" w:hAnsi="Times New Roman" w:cs="Times New Roman"/>
          <w:b/>
          <w:bCs/>
          <w:sz w:val="24"/>
          <w:szCs w:val="24"/>
        </w:rPr>
      </w:pPr>
      <w:r w:rsidRPr="00D85929">
        <w:rPr>
          <w:rFonts w:ascii="Times New Roman" w:hAnsi="Times New Roman" w:cs="Times New Roman"/>
          <w:b/>
          <w:bCs/>
          <w:sz w:val="24"/>
          <w:szCs w:val="24"/>
        </w:rPr>
        <w:t>Question 1</w:t>
      </w:r>
    </w:p>
    <w:p w14:paraId="066D46B4" w14:textId="480557FE" w:rsidR="00017267" w:rsidRPr="00D85929" w:rsidRDefault="00017267"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a) Total YUM revenues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1378"/>
        <w:gridCol w:w="1378"/>
        <w:gridCol w:w="1378"/>
        <w:gridCol w:w="1380"/>
      </w:tblGrid>
      <w:tr w:rsidR="006A5783" w:rsidRPr="006A5783" w14:paraId="46A7E285" w14:textId="77777777" w:rsidTr="006A5783">
        <w:trPr>
          <w:trHeight w:val="310"/>
        </w:trPr>
        <w:tc>
          <w:tcPr>
            <w:tcW w:w="5000" w:type="pct"/>
            <w:gridSpan w:val="5"/>
            <w:shd w:val="clear" w:color="auto" w:fill="auto"/>
            <w:noWrap/>
            <w:vAlign w:val="bottom"/>
            <w:hideMark/>
          </w:tcPr>
          <w:p w14:paraId="158FBF3A" w14:textId="6E4A1F36" w:rsidR="006A5783" w:rsidRPr="006A5783" w:rsidRDefault="006A5783" w:rsidP="00DC6732">
            <w:pPr>
              <w:widowControl w:val="0"/>
              <w:spacing w:after="0" w:line="240" w:lineRule="auto"/>
              <w:contextualSpacing/>
              <w:jc w:val="center"/>
              <w:rPr>
                <w:rFonts w:ascii="Times New Roman" w:eastAsia="Times New Roman" w:hAnsi="Times New Roman" w:cs="Times New Roman"/>
                <w:color w:val="000000"/>
                <w:sz w:val="24"/>
                <w:szCs w:val="24"/>
              </w:rPr>
            </w:pPr>
            <w:r w:rsidRPr="00D85929">
              <w:rPr>
                <w:rFonts w:ascii="Times New Roman" w:eastAsia="Times New Roman" w:hAnsi="Times New Roman" w:cs="Times New Roman"/>
                <w:color w:val="000000"/>
                <w:sz w:val="24"/>
                <w:szCs w:val="24"/>
              </w:rPr>
              <w:t>Divisions’ Contribution to Revenue</w:t>
            </w:r>
          </w:p>
        </w:tc>
      </w:tr>
      <w:tr w:rsidR="006A5783" w:rsidRPr="006A5783" w14:paraId="35445C78" w14:textId="77777777" w:rsidTr="006A5783">
        <w:trPr>
          <w:trHeight w:val="310"/>
        </w:trPr>
        <w:tc>
          <w:tcPr>
            <w:tcW w:w="2051" w:type="pct"/>
            <w:shd w:val="clear" w:color="auto" w:fill="auto"/>
            <w:noWrap/>
            <w:vAlign w:val="bottom"/>
            <w:hideMark/>
          </w:tcPr>
          <w:p w14:paraId="31A9E8FA" w14:textId="77777777" w:rsidR="006A5783" w:rsidRPr="006A5783" w:rsidRDefault="006A5783" w:rsidP="00DC6732">
            <w:pPr>
              <w:widowControl w:val="0"/>
              <w:spacing w:after="0" w:line="240" w:lineRule="auto"/>
              <w:contextualSpacing/>
              <w:jc w:val="center"/>
              <w:rPr>
                <w:rFonts w:ascii="Times New Roman" w:eastAsia="Times New Roman" w:hAnsi="Times New Roman" w:cs="Times New Roman"/>
                <w:color w:val="000000"/>
                <w:sz w:val="24"/>
                <w:szCs w:val="24"/>
              </w:rPr>
            </w:pPr>
          </w:p>
        </w:tc>
        <w:tc>
          <w:tcPr>
            <w:tcW w:w="737" w:type="pct"/>
            <w:shd w:val="clear" w:color="auto" w:fill="auto"/>
            <w:noWrap/>
            <w:vAlign w:val="bottom"/>
            <w:hideMark/>
          </w:tcPr>
          <w:p w14:paraId="5E5B7E6F"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2016</w:t>
            </w:r>
          </w:p>
        </w:tc>
        <w:tc>
          <w:tcPr>
            <w:tcW w:w="737" w:type="pct"/>
            <w:shd w:val="clear" w:color="auto" w:fill="auto"/>
            <w:noWrap/>
            <w:vAlign w:val="bottom"/>
            <w:hideMark/>
          </w:tcPr>
          <w:p w14:paraId="770E4A54"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2017</w:t>
            </w:r>
          </w:p>
        </w:tc>
        <w:tc>
          <w:tcPr>
            <w:tcW w:w="737" w:type="pct"/>
            <w:shd w:val="clear" w:color="auto" w:fill="auto"/>
            <w:noWrap/>
            <w:vAlign w:val="bottom"/>
            <w:hideMark/>
          </w:tcPr>
          <w:p w14:paraId="7A4668D4"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2018</w:t>
            </w:r>
          </w:p>
        </w:tc>
        <w:tc>
          <w:tcPr>
            <w:tcW w:w="737" w:type="pct"/>
            <w:shd w:val="clear" w:color="auto" w:fill="auto"/>
            <w:noWrap/>
            <w:vAlign w:val="bottom"/>
            <w:hideMark/>
          </w:tcPr>
          <w:p w14:paraId="7A309801"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2019</w:t>
            </w:r>
          </w:p>
        </w:tc>
      </w:tr>
      <w:tr w:rsidR="006A5783" w:rsidRPr="006A5783" w14:paraId="5A12BCE0" w14:textId="77777777" w:rsidTr="006A5783">
        <w:trPr>
          <w:trHeight w:val="310"/>
        </w:trPr>
        <w:tc>
          <w:tcPr>
            <w:tcW w:w="2051" w:type="pct"/>
            <w:shd w:val="clear" w:color="auto" w:fill="auto"/>
            <w:noWrap/>
            <w:vAlign w:val="bottom"/>
            <w:hideMark/>
          </w:tcPr>
          <w:p w14:paraId="1A9C360C" w14:textId="77777777" w:rsidR="006A5783" w:rsidRPr="006A5783" w:rsidRDefault="006A5783" w:rsidP="00DC6732">
            <w:pPr>
              <w:widowControl w:val="0"/>
              <w:spacing w:after="0" w:line="240" w:lineRule="auto"/>
              <w:contextualSpacing/>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KFC Division</w:t>
            </w:r>
          </w:p>
        </w:tc>
        <w:tc>
          <w:tcPr>
            <w:tcW w:w="737" w:type="pct"/>
            <w:shd w:val="clear" w:color="auto" w:fill="auto"/>
            <w:noWrap/>
            <w:vAlign w:val="bottom"/>
            <w:hideMark/>
          </w:tcPr>
          <w:p w14:paraId="75D224A7"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50.7%</w:t>
            </w:r>
          </w:p>
        </w:tc>
        <w:tc>
          <w:tcPr>
            <w:tcW w:w="737" w:type="pct"/>
            <w:shd w:val="clear" w:color="auto" w:fill="auto"/>
            <w:noWrap/>
            <w:vAlign w:val="bottom"/>
            <w:hideMark/>
          </w:tcPr>
          <w:p w14:paraId="19D500A6"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52.9%</w:t>
            </w:r>
          </w:p>
        </w:tc>
        <w:tc>
          <w:tcPr>
            <w:tcW w:w="737" w:type="pct"/>
            <w:shd w:val="clear" w:color="auto" w:fill="auto"/>
            <w:noWrap/>
            <w:vAlign w:val="bottom"/>
            <w:hideMark/>
          </w:tcPr>
          <w:p w14:paraId="1B869C06"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46.5%</w:t>
            </w:r>
          </w:p>
        </w:tc>
        <w:tc>
          <w:tcPr>
            <w:tcW w:w="737" w:type="pct"/>
            <w:shd w:val="clear" w:color="auto" w:fill="auto"/>
            <w:noWrap/>
            <w:vAlign w:val="bottom"/>
            <w:hideMark/>
          </w:tcPr>
          <w:p w14:paraId="161C631B"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44.5%</w:t>
            </w:r>
          </w:p>
        </w:tc>
      </w:tr>
      <w:tr w:rsidR="006A5783" w:rsidRPr="006A5783" w14:paraId="5AD132F7" w14:textId="77777777" w:rsidTr="006A5783">
        <w:trPr>
          <w:trHeight w:val="310"/>
        </w:trPr>
        <w:tc>
          <w:tcPr>
            <w:tcW w:w="2051" w:type="pct"/>
            <w:shd w:val="clear" w:color="auto" w:fill="auto"/>
            <w:noWrap/>
            <w:vAlign w:val="bottom"/>
            <w:hideMark/>
          </w:tcPr>
          <w:p w14:paraId="1BE4D4D0" w14:textId="77777777" w:rsidR="006A5783" w:rsidRPr="006A5783" w:rsidRDefault="006A5783" w:rsidP="00DC6732">
            <w:pPr>
              <w:widowControl w:val="0"/>
              <w:spacing w:after="0" w:line="240" w:lineRule="auto"/>
              <w:contextualSpacing/>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Pizza Hut Division</w:t>
            </w:r>
          </w:p>
        </w:tc>
        <w:tc>
          <w:tcPr>
            <w:tcW w:w="737" w:type="pct"/>
            <w:shd w:val="clear" w:color="auto" w:fill="auto"/>
            <w:noWrap/>
            <w:vAlign w:val="bottom"/>
            <w:hideMark/>
          </w:tcPr>
          <w:p w14:paraId="34C4F792"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17.4%</w:t>
            </w:r>
          </w:p>
        </w:tc>
        <w:tc>
          <w:tcPr>
            <w:tcW w:w="737" w:type="pct"/>
            <w:shd w:val="clear" w:color="auto" w:fill="auto"/>
            <w:noWrap/>
            <w:vAlign w:val="bottom"/>
            <w:hideMark/>
          </w:tcPr>
          <w:p w14:paraId="035A64E0"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15.2%</w:t>
            </w:r>
          </w:p>
        </w:tc>
        <w:tc>
          <w:tcPr>
            <w:tcW w:w="737" w:type="pct"/>
            <w:shd w:val="clear" w:color="auto" w:fill="auto"/>
            <w:noWrap/>
            <w:vAlign w:val="bottom"/>
            <w:hideMark/>
          </w:tcPr>
          <w:p w14:paraId="3DDC87C4"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17.4%</w:t>
            </w:r>
          </w:p>
        </w:tc>
        <w:tc>
          <w:tcPr>
            <w:tcW w:w="737" w:type="pct"/>
            <w:shd w:val="clear" w:color="auto" w:fill="auto"/>
            <w:noWrap/>
            <w:vAlign w:val="bottom"/>
            <w:hideMark/>
          </w:tcPr>
          <w:p w14:paraId="5051525A"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18.3%</w:t>
            </w:r>
          </w:p>
        </w:tc>
      </w:tr>
      <w:tr w:rsidR="006A5783" w:rsidRPr="006A5783" w14:paraId="2A58FF8E" w14:textId="77777777" w:rsidTr="006A5783">
        <w:trPr>
          <w:trHeight w:val="310"/>
        </w:trPr>
        <w:tc>
          <w:tcPr>
            <w:tcW w:w="2051" w:type="pct"/>
            <w:shd w:val="clear" w:color="auto" w:fill="auto"/>
            <w:noWrap/>
            <w:vAlign w:val="bottom"/>
            <w:hideMark/>
          </w:tcPr>
          <w:p w14:paraId="269D19A1" w14:textId="77777777" w:rsidR="006A5783" w:rsidRPr="006A5783" w:rsidRDefault="006A5783" w:rsidP="00DC6732">
            <w:pPr>
              <w:widowControl w:val="0"/>
              <w:spacing w:after="0" w:line="240" w:lineRule="auto"/>
              <w:contextualSpacing/>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Taco Bell Division</w:t>
            </w:r>
          </w:p>
        </w:tc>
        <w:tc>
          <w:tcPr>
            <w:tcW w:w="737" w:type="pct"/>
            <w:shd w:val="clear" w:color="auto" w:fill="auto"/>
            <w:noWrap/>
            <w:vAlign w:val="bottom"/>
            <w:hideMark/>
          </w:tcPr>
          <w:p w14:paraId="73ECFE8A"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31.9%</w:t>
            </w:r>
          </w:p>
        </w:tc>
        <w:tc>
          <w:tcPr>
            <w:tcW w:w="737" w:type="pct"/>
            <w:shd w:val="clear" w:color="auto" w:fill="auto"/>
            <w:noWrap/>
            <w:vAlign w:val="bottom"/>
            <w:hideMark/>
          </w:tcPr>
          <w:p w14:paraId="65EDF828"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32.0%</w:t>
            </w:r>
          </w:p>
        </w:tc>
        <w:tc>
          <w:tcPr>
            <w:tcW w:w="737" w:type="pct"/>
            <w:shd w:val="clear" w:color="auto" w:fill="auto"/>
            <w:noWrap/>
            <w:vAlign w:val="bottom"/>
            <w:hideMark/>
          </w:tcPr>
          <w:p w14:paraId="7555F277"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36.1%</w:t>
            </w:r>
          </w:p>
        </w:tc>
        <w:tc>
          <w:tcPr>
            <w:tcW w:w="737" w:type="pct"/>
            <w:shd w:val="clear" w:color="auto" w:fill="auto"/>
            <w:noWrap/>
            <w:vAlign w:val="bottom"/>
            <w:hideMark/>
          </w:tcPr>
          <w:p w14:paraId="7D43BA8F" w14:textId="77777777" w:rsidR="006A5783" w:rsidRPr="006A5783" w:rsidRDefault="006A5783"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6A5783">
              <w:rPr>
                <w:rFonts w:ascii="Times New Roman" w:eastAsia="Times New Roman" w:hAnsi="Times New Roman" w:cs="Times New Roman"/>
                <w:color w:val="000000"/>
                <w:sz w:val="24"/>
                <w:szCs w:val="24"/>
              </w:rPr>
              <w:t>37.1%</w:t>
            </w:r>
          </w:p>
        </w:tc>
      </w:tr>
    </w:tbl>
    <w:p w14:paraId="100D97FF" w14:textId="77777777" w:rsidR="006A5783" w:rsidRPr="00D85929" w:rsidRDefault="006A5783" w:rsidP="00DC6732">
      <w:pPr>
        <w:widowControl w:val="0"/>
        <w:spacing w:after="0" w:line="480" w:lineRule="auto"/>
        <w:contextualSpacing/>
        <w:rPr>
          <w:rFonts w:ascii="Times New Roman" w:hAnsi="Times New Roman" w:cs="Times New Roman"/>
          <w:sz w:val="24"/>
          <w:szCs w:val="24"/>
        </w:rPr>
      </w:pPr>
    </w:p>
    <w:p w14:paraId="56A9903F" w14:textId="32C31CC0" w:rsidR="00017267" w:rsidRPr="00D85929" w:rsidRDefault="006A5783"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noProof/>
          <w:sz w:val="24"/>
          <w:szCs w:val="24"/>
        </w:rPr>
        <w:drawing>
          <wp:inline distT="0" distB="0" distL="0" distR="0" wp14:anchorId="3B11D727" wp14:editId="716B0909">
            <wp:extent cx="5257800" cy="2470150"/>
            <wp:effectExtent l="0" t="0" r="0" b="6350"/>
            <wp:docPr id="1" name="Chart 1">
              <a:extLst xmlns:a="http://schemas.openxmlformats.org/drawingml/2006/main">
                <a:ext uri="{FF2B5EF4-FFF2-40B4-BE49-F238E27FC236}">
                  <a16:creationId xmlns:a16="http://schemas.microsoft.com/office/drawing/2014/main" id="{BBFE7FDC-07ED-4A54-B127-D0345B8822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232B74A" w14:textId="75C5D1A9" w:rsidR="0008226F" w:rsidRPr="00D85929" w:rsidRDefault="0008226F"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The KFC division was responsible for the largest proportion of Yum Brands revenues from 2017 to 2019 and was succeeded by the Taco Bell Division for every year in this period.</w:t>
      </w:r>
      <w:r w:rsidR="00B7404B" w:rsidRPr="00D85929">
        <w:rPr>
          <w:rFonts w:ascii="Times New Roman" w:hAnsi="Times New Roman" w:cs="Times New Roman"/>
          <w:sz w:val="24"/>
          <w:szCs w:val="24"/>
        </w:rPr>
        <w:t xml:space="preserve"> In 2019, KFC contributed 44.5% to Yum Brand’s total revenue</w:t>
      </w:r>
      <w:r w:rsidRPr="00D85929">
        <w:rPr>
          <w:rFonts w:ascii="Times New Roman" w:hAnsi="Times New Roman" w:cs="Times New Roman"/>
          <w:sz w:val="24"/>
          <w:szCs w:val="24"/>
        </w:rPr>
        <w:t xml:space="preserve"> </w:t>
      </w:r>
      <w:r w:rsidR="00B7404B" w:rsidRPr="00D85929">
        <w:rPr>
          <w:rFonts w:ascii="Times New Roman" w:hAnsi="Times New Roman" w:cs="Times New Roman"/>
          <w:sz w:val="24"/>
          <w:szCs w:val="24"/>
        </w:rPr>
        <w:t xml:space="preserve">with 37.1% and 18.3% of the revenues stemming from Taco Bell and Pizza Hut, respectively. </w:t>
      </w:r>
      <w:r w:rsidR="00F14521" w:rsidRPr="00D85929">
        <w:rPr>
          <w:rFonts w:ascii="Times New Roman" w:hAnsi="Times New Roman" w:cs="Times New Roman"/>
          <w:sz w:val="24"/>
          <w:szCs w:val="24"/>
        </w:rPr>
        <w:t>However, KFC’s contribution to revenue has declined since 2017 while Taco Bell’s and Pizza Hut’s</w:t>
      </w:r>
      <w:r w:rsidR="00B7404B" w:rsidRPr="00D85929">
        <w:rPr>
          <w:rFonts w:ascii="Times New Roman" w:hAnsi="Times New Roman" w:cs="Times New Roman"/>
          <w:sz w:val="24"/>
          <w:szCs w:val="24"/>
        </w:rPr>
        <w:t xml:space="preserve"> revenue as a proportion of the total revenue</w:t>
      </w:r>
      <w:r w:rsidR="00F14521" w:rsidRPr="00D85929">
        <w:rPr>
          <w:rFonts w:ascii="Times New Roman" w:hAnsi="Times New Roman" w:cs="Times New Roman"/>
          <w:sz w:val="24"/>
          <w:szCs w:val="24"/>
        </w:rPr>
        <w:t xml:space="preserve"> increased.</w:t>
      </w:r>
    </w:p>
    <w:p w14:paraId="2DB92B3A" w14:textId="7FBD2AA5" w:rsidR="00017267" w:rsidRPr="00D85929" w:rsidRDefault="00017267"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b) Total YUM operating income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1378"/>
        <w:gridCol w:w="1378"/>
        <w:gridCol w:w="1378"/>
        <w:gridCol w:w="1380"/>
      </w:tblGrid>
      <w:tr w:rsidR="00075989" w:rsidRPr="00075989" w14:paraId="6055DBB6" w14:textId="77777777" w:rsidTr="00075989">
        <w:trPr>
          <w:trHeight w:val="320"/>
        </w:trPr>
        <w:tc>
          <w:tcPr>
            <w:tcW w:w="5000" w:type="pct"/>
            <w:gridSpan w:val="5"/>
            <w:shd w:val="clear" w:color="auto" w:fill="auto"/>
            <w:noWrap/>
            <w:vAlign w:val="bottom"/>
            <w:hideMark/>
          </w:tcPr>
          <w:p w14:paraId="474C9751" w14:textId="77777777" w:rsidR="00075989" w:rsidRPr="00075989" w:rsidRDefault="00075989" w:rsidP="00DC6732">
            <w:pPr>
              <w:widowControl w:val="0"/>
              <w:spacing w:after="0" w:line="240" w:lineRule="auto"/>
              <w:contextualSpacing/>
              <w:jc w:val="center"/>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Divisions' Contribution to Operating Income</w:t>
            </w:r>
          </w:p>
        </w:tc>
      </w:tr>
      <w:tr w:rsidR="00075989" w:rsidRPr="00075989" w14:paraId="7CFAEDFD" w14:textId="77777777" w:rsidTr="00075989">
        <w:trPr>
          <w:trHeight w:val="310"/>
        </w:trPr>
        <w:tc>
          <w:tcPr>
            <w:tcW w:w="2051" w:type="pct"/>
            <w:shd w:val="clear" w:color="auto" w:fill="auto"/>
            <w:noWrap/>
            <w:vAlign w:val="bottom"/>
            <w:hideMark/>
          </w:tcPr>
          <w:p w14:paraId="58DAB46D" w14:textId="77777777" w:rsidR="00075989" w:rsidRPr="00075989" w:rsidRDefault="00075989" w:rsidP="00DC6732">
            <w:pPr>
              <w:widowControl w:val="0"/>
              <w:spacing w:after="0" w:line="240" w:lineRule="auto"/>
              <w:contextualSpacing/>
              <w:jc w:val="center"/>
              <w:rPr>
                <w:rFonts w:ascii="Times New Roman" w:eastAsia="Times New Roman" w:hAnsi="Times New Roman" w:cs="Times New Roman"/>
                <w:color w:val="000000"/>
                <w:sz w:val="24"/>
                <w:szCs w:val="24"/>
              </w:rPr>
            </w:pPr>
          </w:p>
        </w:tc>
        <w:tc>
          <w:tcPr>
            <w:tcW w:w="737" w:type="pct"/>
            <w:shd w:val="clear" w:color="auto" w:fill="auto"/>
            <w:noWrap/>
            <w:vAlign w:val="bottom"/>
            <w:hideMark/>
          </w:tcPr>
          <w:p w14:paraId="5948953C"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2016</w:t>
            </w:r>
          </w:p>
        </w:tc>
        <w:tc>
          <w:tcPr>
            <w:tcW w:w="737" w:type="pct"/>
            <w:shd w:val="clear" w:color="auto" w:fill="auto"/>
            <w:noWrap/>
            <w:vAlign w:val="bottom"/>
            <w:hideMark/>
          </w:tcPr>
          <w:p w14:paraId="5091FE41"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2017</w:t>
            </w:r>
          </w:p>
        </w:tc>
        <w:tc>
          <w:tcPr>
            <w:tcW w:w="737" w:type="pct"/>
            <w:shd w:val="clear" w:color="auto" w:fill="auto"/>
            <w:noWrap/>
            <w:vAlign w:val="bottom"/>
            <w:hideMark/>
          </w:tcPr>
          <w:p w14:paraId="0BD3ED31"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2018</w:t>
            </w:r>
          </w:p>
        </w:tc>
        <w:tc>
          <w:tcPr>
            <w:tcW w:w="737" w:type="pct"/>
            <w:shd w:val="clear" w:color="auto" w:fill="auto"/>
            <w:noWrap/>
            <w:vAlign w:val="bottom"/>
            <w:hideMark/>
          </w:tcPr>
          <w:p w14:paraId="5C3F21A7"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2019</w:t>
            </w:r>
          </w:p>
        </w:tc>
      </w:tr>
      <w:tr w:rsidR="00075989" w:rsidRPr="00075989" w14:paraId="33ED1AA9" w14:textId="77777777" w:rsidTr="00075989">
        <w:trPr>
          <w:trHeight w:val="310"/>
        </w:trPr>
        <w:tc>
          <w:tcPr>
            <w:tcW w:w="2051" w:type="pct"/>
            <w:shd w:val="clear" w:color="auto" w:fill="auto"/>
            <w:noWrap/>
            <w:vAlign w:val="bottom"/>
            <w:hideMark/>
          </w:tcPr>
          <w:p w14:paraId="4188F972" w14:textId="77777777" w:rsidR="00075989" w:rsidRPr="00075989" w:rsidRDefault="00075989" w:rsidP="00DC6732">
            <w:pPr>
              <w:widowControl w:val="0"/>
              <w:spacing w:after="0" w:line="240" w:lineRule="auto"/>
              <w:contextualSpacing/>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KFC Division</w:t>
            </w:r>
          </w:p>
        </w:tc>
        <w:tc>
          <w:tcPr>
            <w:tcW w:w="737" w:type="pct"/>
            <w:shd w:val="clear" w:color="auto" w:fill="auto"/>
            <w:noWrap/>
            <w:vAlign w:val="bottom"/>
            <w:hideMark/>
          </w:tcPr>
          <w:p w14:paraId="3ED6720A"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51.8%</w:t>
            </w:r>
          </w:p>
        </w:tc>
        <w:tc>
          <w:tcPr>
            <w:tcW w:w="737" w:type="pct"/>
            <w:shd w:val="clear" w:color="auto" w:fill="auto"/>
            <w:noWrap/>
            <w:vAlign w:val="bottom"/>
            <w:hideMark/>
          </w:tcPr>
          <w:p w14:paraId="43E1CB7D"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35.5%</w:t>
            </w:r>
          </w:p>
        </w:tc>
        <w:tc>
          <w:tcPr>
            <w:tcW w:w="737" w:type="pct"/>
            <w:shd w:val="clear" w:color="auto" w:fill="auto"/>
            <w:noWrap/>
            <w:vAlign w:val="bottom"/>
            <w:hideMark/>
          </w:tcPr>
          <w:p w14:paraId="48485CCA"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41.8%</w:t>
            </w:r>
          </w:p>
        </w:tc>
        <w:tc>
          <w:tcPr>
            <w:tcW w:w="737" w:type="pct"/>
            <w:shd w:val="clear" w:color="auto" w:fill="auto"/>
            <w:noWrap/>
            <w:vAlign w:val="bottom"/>
            <w:hideMark/>
          </w:tcPr>
          <w:p w14:paraId="1B1C9E2E"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54.5%</w:t>
            </w:r>
          </w:p>
        </w:tc>
      </w:tr>
      <w:tr w:rsidR="00075989" w:rsidRPr="00075989" w14:paraId="4E3C15A0" w14:textId="77777777" w:rsidTr="00075989">
        <w:trPr>
          <w:trHeight w:val="310"/>
        </w:trPr>
        <w:tc>
          <w:tcPr>
            <w:tcW w:w="2051" w:type="pct"/>
            <w:shd w:val="clear" w:color="auto" w:fill="auto"/>
            <w:noWrap/>
            <w:vAlign w:val="bottom"/>
            <w:hideMark/>
          </w:tcPr>
          <w:p w14:paraId="2A2497F8" w14:textId="77777777" w:rsidR="00075989" w:rsidRPr="00075989" w:rsidRDefault="00075989" w:rsidP="00DC6732">
            <w:pPr>
              <w:widowControl w:val="0"/>
              <w:spacing w:after="0" w:line="240" w:lineRule="auto"/>
              <w:contextualSpacing/>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lastRenderedPageBreak/>
              <w:t>Pizza Hut Division</w:t>
            </w:r>
          </w:p>
        </w:tc>
        <w:tc>
          <w:tcPr>
            <w:tcW w:w="737" w:type="pct"/>
            <w:shd w:val="clear" w:color="auto" w:fill="auto"/>
            <w:noWrap/>
            <w:vAlign w:val="bottom"/>
            <w:hideMark/>
          </w:tcPr>
          <w:p w14:paraId="58E6BF03"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21.8%</w:t>
            </w:r>
          </w:p>
        </w:tc>
        <w:tc>
          <w:tcPr>
            <w:tcW w:w="737" w:type="pct"/>
            <w:shd w:val="clear" w:color="auto" w:fill="auto"/>
            <w:noWrap/>
            <w:vAlign w:val="bottom"/>
            <w:hideMark/>
          </w:tcPr>
          <w:p w14:paraId="273ABF97"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12.4%</w:t>
            </w:r>
          </w:p>
        </w:tc>
        <w:tc>
          <w:tcPr>
            <w:tcW w:w="737" w:type="pct"/>
            <w:shd w:val="clear" w:color="auto" w:fill="auto"/>
            <w:noWrap/>
            <w:vAlign w:val="bottom"/>
            <w:hideMark/>
          </w:tcPr>
          <w:p w14:paraId="13D4D41B"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15.2%</w:t>
            </w:r>
          </w:p>
        </w:tc>
        <w:tc>
          <w:tcPr>
            <w:tcW w:w="737" w:type="pct"/>
            <w:shd w:val="clear" w:color="auto" w:fill="auto"/>
            <w:noWrap/>
            <w:vAlign w:val="bottom"/>
            <w:hideMark/>
          </w:tcPr>
          <w:p w14:paraId="66D9D7E3"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19.1%</w:t>
            </w:r>
          </w:p>
        </w:tc>
      </w:tr>
      <w:tr w:rsidR="00075989" w:rsidRPr="00075989" w14:paraId="77B3CB72" w14:textId="77777777" w:rsidTr="00075989">
        <w:trPr>
          <w:trHeight w:val="310"/>
        </w:trPr>
        <w:tc>
          <w:tcPr>
            <w:tcW w:w="2051" w:type="pct"/>
            <w:shd w:val="clear" w:color="auto" w:fill="auto"/>
            <w:noWrap/>
            <w:vAlign w:val="bottom"/>
            <w:hideMark/>
          </w:tcPr>
          <w:p w14:paraId="7216861F" w14:textId="77777777" w:rsidR="00075989" w:rsidRPr="00075989" w:rsidRDefault="00075989" w:rsidP="00DC6732">
            <w:pPr>
              <w:widowControl w:val="0"/>
              <w:spacing w:after="0" w:line="240" w:lineRule="auto"/>
              <w:contextualSpacing/>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Taco Bell Division</w:t>
            </w:r>
          </w:p>
        </w:tc>
        <w:tc>
          <w:tcPr>
            <w:tcW w:w="737" w:type="pct"/>
            <w:shd w:val="clear" w:color="auto" w:fill="auto"/>
            <w:noWrap/>
            <w:vAlign w:val="bottom"/>
            <w:hideMark/>
          </w:tcPr>
          <w:p w14:paraId="65243BC9"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35.4%</w:t>
            </w:r>
          </w:p>
        </w:tc>
        <w:tc>
          <w:tcPr>
            <w:tcW w:w="737" w:type="pct"/>
            <w:shd w:val="clear" w:color="auto" w:fill="auto"/>
            <w:noWrap/>
            <w:vAlign w:val="bottom"/>
            <w:hideMark/>
          </w:tcPr>
          <w:p w14:paraId="3A1676D8"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22.4%</w:t>
            </w:r>
          </w:p>
        </w:tc>
        <w:tc>
          <w:tcPr>
            <w:tcW w:w="737" w:type="pct"/>
            <w:shd w:val="clear" w:color="auto" w:fill="auto"/>
            <w:noWrap/>
            <w:vAlign w:val="bottom"/>
            <w:hideMark/>
          </w:tcPr>
          <w:p w14:paraId="0ADA1ABB"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27.6%</w:t>
            </w:r>
          </w:p>
        </w:tc>
        <w:tc>
          <w:tcPr>
            <w:tcW w:w="737" w:type="pct"/>
            <w:shd w:val="clear" w:color="auto" w:fill="auto"/>
            <w:noWrap/>
            <w:vAlign w:val="bottom"/>
            <w:hideMark/>
          </w:tcPr>
          <w:p w14:paraId="6C403EBD" w14:textId="77777777" w:rsidR="00075989" w:rsidRPr="00075989" w:rsidRDefault="00075989" w:rsidP="00DC6732">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35.4%</w:t>
            </w:r>
          </w:p>
        </w:tc>
      </w:tr>
    </w:tbl>
    <w:p w14:paraId="1719F374" w14:textId="77777777" w:rsidR="00075989" w:rsidRPr="00D85929" w:rsidRDefault="00075989" w:rsidP="00DC6732">
      <w:pPr>
        <w:widowControl w:val="0"/>
        <w:spacing w:after="0" w:line="480" w:lineRule="auto"/>
        <w:contextualSpacing/>
        <w:rPr>
          <w:rFonts w:ascii="Times New Roman" w:hAnsi="Times New Roman" w:cs="Times New Roman"/>
          <w:sz w:val="24"/>
          <w:szCs w:val="24"/>
        </w:rPr>
      </w:pPr>
    </w:p>
    <w:p w14:paraId="212ECB3F" w14:textId="57499D9C" w:rsidR="00017267" w:rsidRPr="00D85929" w:rsidRDefault="00075989"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noProof/>
          <w:sz w:val="24"/>
          <w:szCs w:val="24"/>
        </w:rPr>
        <w:drawing>
          <wp:inline distT="0" distB="0" distL="0" distR="0" wp14:anchorId="5D24EBA2" wp14:editId="32468B97">
            <wp:extent cx="5918200" cy="2432050"/>
            <wp:effectExtent l="0" t="0" r="6350" b="6350"/>
            <wp:docPr id="2" name="Chart 2">
              <a:extLst xmlns:a="http://schemas.openxmlformats.org/drawingml/2006/main">
                <a:ext uri="{FF2B5EF4-FFF2-40B4-BE49-F238E27FC236}">
                  <a16:creationId xmlns:a16="http://schemas.microsoft.com/office/drawing/2014/main" id="{F06B7049-57A2-4039-9789-860A555B2B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E304888" w14:textId="4EDBC82B" w:rsidR="00F14521" w:rsidRPr="00D85929" w:rsidRDefault="00F14521"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As was expected from the trend in revenues, KFC made the largest contribution to operating income between 2016 and 2019</w:t>
      </w:r>
      <w:r w:rsidR="00B7404B" w:rsidRPr="00D85929">
        <w:rPr>
          <w:rFonts w:ascii="Times New Roman" w:hAnsi="Times New Roman" w:cs="Times New Roman"/>
          <w:sz w:val="24"/>
          <w:szCs w:val="24"/>
        </w:rPr>
        <w:t xml:space="preserve">. In the latest period, 54.5% of the company’s operating income was attributable to the KFC Division with Taco Bell and Pizza Hut accounting for 35.4% and 19.1% of </w:t>
      </w:r>
      <w:proofErr w:type="spellStart"/>
      <w:r w:rsidR="00B7404B" w:rsidRPr="00D85929">
        <w:rPr>
          <w:rFonts w:ascii="Times New Roman" w:hAnsi="Times New Roman" w:cs="Times New Roman"/>
          <w:sz w:val="24"/>
          <w:szCs w:val="24"/>
        </w:rPr>
        <w:t>Yum’s</w:t>
      </w:r>
      <w:proofErr w:type="spellEnd"/>
      <w:r w:rsidR="00B7404B" w:rsidRPr="00D85929">
        <w:rPr>
          <w:rFonts w:ascii="Times New Roman" w:hAnsi="Times New Roman" w:cs="Times New Roman"/>
          <w:sz w:val="24"/>
          <w:szCs w:val="24"/>
        </w:rPr>
        <w:t xml:space="preserve"> operating income, respectively</w:t>
      </w:r>
      <w:r w:rsidRPr="00D85929">
        <w:rPr>
          <w:rFonts w:ascii="Times New Roman" w:hAnsi="Times New Roman" w:cs="Times New Roman"/>
          <w:sz w:val="24"/>
          <w:szCs w:val="24"/>
        </w:rPr>
        <w:t xml:space="preserve">. All three divisions’ operating income as a proportion of the total operating income decreased in 2017 due to the high contribution of the </w:t>
      </w:r>
      <w:r w:rsidR="00B7404B" w:rsidRPr="00D85929">
        <w:rPr>
          <w:rFonts w:ascii="Times New Roman" w:hAnsi="Times New Roman" w:cs="Times New Roman"/>
          <w:sz w:val="24"/>
          <w:szCs w:val="24"/>
        </w:rPr>
        <w:t xml:space="preserve">special net refranchising gains. All three divisions contribution to operating income increased </w:t>
      </w:r>
    </w:p>
    <w:p w14:paraId="4EFF8012" w14:textId="41DA7077" w:rsidR="00017267" w:rsidRPr="00D85929" w:rsidRDefault="00017267"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c) Total YUM capital spending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1378"/>
        <w:gridCol w:w="1378"/>
        <w:gridCol w:w="1378"/>
        <w:gridCol w:w="1380"/>
      </w:tblGrid>
      <w:tr w:rsidR="00075989" w:rsidRPr="00075989" w14:paraId="1F64D100" w14:textId="77777777" w:rsidTr="00075989">
        <w:trPr>
          <w:trHeight w:val="320"/>
        </w:trPr>
        <w:tc>
          <w:tcPr>
            <w:tcW w:w="5000" w:type="pct"/>
            <w:gridSpan w:val="5"/>
            <w:shd w:val="clear" w:color="auto" w:fill="auto"/>
            <w:noWrap/>
            <w:vAlign w:val="bottom"/>
            <w:hideMark/>
          </w:tcPr>
          <w:p w14:paraId="4065E090" w14:textId="77777777" w:rsidR="00075989" w:rsidRPr="00075989" w:rsidRDefault="00075989" w:rsidP="001F053B">
            <w:pPr>
              <w:widowControl w:val="0"/>
              <w:spacing w:after="0" w:line="240" w:lineRule="auto"/>
              <w:contextualSpacing/>
              <w:jc w:val="center"/>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Capital Spending Across Divisions</w:t>
            </w:r>
          </w:p>
        </w:tc>
      </w:tr>
      <w:tr w:rsidR="00075989" w:rsidRPr="00075989" w14:paraId="1AD46FDF" w14:textId="77777777" w:rsidTr="00075989">
        <w:trPr>
          <w:trHeight w:val="310"/>
        </w:trPr>
        <w:tc>
          <w:tcPr>
            <w:tcW w:w="2051" w:type="pct"/>
            <w:shd w:val="clear" w:color="auto" w:fill="auto"/>
            <w:noWrap/>
            <w:vAlign w:val="bottom"/>
            <w:hideMark/>
          </w:tcPr>
          <w:p w14:paraId="79B2BAEC" w14:textId="77777777" w:rsidR="00075989" w:rsidRPr="00075989" w:rsidRDefault="00075989" w:rsidP="001F053B">
            <w:pPr>
              <w:widowControl w:val="0"/>
              <w:spacing w:after="0" w:line="240" w:lineRule="auto"/>
              <w:contextualSpacing/>
              <w:jc w:val="center"/>
              <w:rPr>
                <w:rFonts w:ascii="Times New Roman" w:eastAsia="Times New Roman" w:hAnsi="Times New Roman" w:cs="Times New Roman"/>
                <w:color w:val="000000"/>
                <w:sz w:val="24"/>
                <w:szCs w:val="24"/>
              </w:rPr>
            </w:pPr>
          </w:p>
        </w:tc>
        <w:tc>
          <w:tcPr>
            <w:tcW w:w="737" w:type="pct"/>
            <w:shd w:val="clear" w:color="auto" w:fill="auto"/>
            <w:noWrap/>
            <w:vAlign w:val="bottom"/>
            <w:hideMark/>
          </w:tcPr>
          <w:p w14:paraId="58B9EC57"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2016</w:t>
            </w:r>
          </w:p>
        </w:tc>
        <w:tc>
          <w:tcPr>
            <w:tcW w:w="737" w:type="pct"/>
            <w:shd w:val="clear" w:color="auto" w:fill="auto"/>
            <w:noWrap/>
            <w:vAlign w:val="bottom"/>
            <w:hideMark/>
          </w:tcPr>
          <w:p w14:paraId="6FACA224"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2017</w:t>
            </w:r>
          </w:p>
        </w:tc>
        <w:tc>
          <w:tcPr>
            <w:tcW w:w="737" w:type="pct"/>
            <w:shd w:val="clear" w:color="auto" w:fill="auto"/>
            <w:noWrap/>
            <w:vAlign w:val="bottom"/>
            <w:hideMark/>
          </w:tcPr>
          <w:p w14:paraId="4CD5256E"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2018</w:t>
            </w:r>
          </w:p>
        </w:tc>
        <w:tc>
          <w:tcPr>
            <w:tcW w:w="737" w:type="pct"/>
            <w:shd w:val="clear" w:color="auto" w:fill="auto"/>
            <w:noWrap/>
            <w:vAlign w:val="bottom"/>
            <w:hideMark/>
          </w:tcPr>
          <w:p w14:paraId="2809CB99"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2019</w:t>
            </w:r>
          </w:p>
        </w:tc>
      </w:tr>
      <w:tr w:rsidR="00075989" w:rsidRPr="00075989" w14:paraId="2681FA4D" w14:textId="77777777" w:rsidTr="00075989">
        <w:trPr>
          <w:trHeight w:val="310"/>
        </w:trPr>
        <w:tc>
          <w:tcPr>
            <w:tcW w:w="2051" w:type="pct"/>
            <w:shd w:val="clear" w:color="auto" w:fill="auto"/>
            <w:noWrap/>
            <w:vAlign w:val="bottom"/>
            <w:hideMark/>
          </w:tcPr>
          <w:p w14:paraId="62D475D5" w14:textId="77777777" w:rsidR="00075989" w:rsidRPr="00075989" w:rsidRDefault="00075989" w:rsidP="001F053B">
            <w:pPr>
              <w:widowControl w:val="0"/>
              <w:spacing w:after="0" w:line="240" w:lineRule="auto"/>
              <w:contextualSpacing/>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KFC Division</w:t>
            </w:r>
          </w:p>
        </w:tc>
        <w:tc>
          <w:tcPr>
            <w:tcW w:w="737" w:type="pct"/>
            <w:shd w:val="clear" w:color="auto" w:fill="auto"/>
            <w:noWrap/>
            <w:vAlign w:val="bottom"/>
            <w:hideMark/>
          </w:tcPr>
          <w:p w14:paraId="0BB95296"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50.6%</w:t>
            </w:r>
          </w:p>
        </w:tc>
        <w:tc>
          <w:tcPr>
            <w:tcW w:w="737" w:type="pct"/>
            <w:shd w:val="clear" w:color="auto" w:fill="auto"/>
            <w:noWrap/>
            <w:vAlign w:val="bottom"/>
            <w:hideMark/>
          </w:tcPr>
          <w:p w14:paraId="5FA1EEAD"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55.3%</w:t>
            </w:r>
          </w:p>
        </w:tc>
        <w:tc>
          <w:tcPr>
            <w:tcW w:w="737" w:type="pct"/>
            <w:shd w:val="clear" w:color="auto" w:fill="auto"/>
            <w:noWrap/>
            <w:vAlign w:val="bottom"/>
            <w:hideMark/>
          </w:tcPr>
          <w:p w14:paraId="624E46CD"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44.9%</w:t>
            </w:r>
          </w:p>
        </w:tc>
        <w:tc>
          <w:tcPr>
            <w:tcW w:w="737" w:type="pct"/>
            <w:shd w:val="clear" w:color="auto" w:fill="auto"/>
            <w:noWrap/>
            <w:vAlign w:val="bottom"/>
            <w:hideMark/>
          </w:tcPr>
          <w:p w14:paraId="6FFF0C26"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41.3%</w:t>
            </w:r>
          </w:p>
        </w:tc>
      </w:tr>
      <w:tr w:rsidR="00075989" w:rsidRPr="00075989" w14:paraId="06A09DD3" w14:textId="77777777" w:rsidTr="00075989">
        <w:trPr>
          <w:trHeight w:val="310"/>
        </w:trPr>
        <w:tc>
          <w:tcPr>
            <w:tcW w:w="2051" w:type="pct"/>
            <w:shd w:val="clear" w:color="auto" w:fill="auto"/>
            <w:noWrap/>
            <w:vAlign w:val="bottom"/>
            <w:hideMark/>
          </w:tcPr>
          <w:p w14:paraId="636C3669" w14:textId="77777777" w:rsidR="00075989" w:rsidRPr="00075989" w:rsidRDefault="00075989" w:rsidP="001F053B">
            <w:pPr>
              <w:widowControl w:val="0"/>
              <w:spacing w:after="0" w:line="240" w:lineRule="auto"/>
              <w:contextualSpacing/>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Pizza Hut Division</w:t>
            </w:r>
          </w:p>
        </w:tc>
        <w:tc>
          <w:tcPr>
            <w:tcW w:w="737" w:type="pct"/>
            <w:shd w:val="clear" w:color="auto" w:fill="auto"/>
            <w:noWrap/>
            <w:vAlign w:val="bottom"/>
            <w:hideMark/>
          </w:tcPr>
          <w:p w14:paraId="49703D33"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16.2%</w:t>
            </w:r>
          </w:p>
        </w:tc>
        <w:tc>
          <w:tcPr>
            <w:tcW w:w="737" w:type="pct"/>
            <w:shd w:val="clear" w:color="auto" w:fill="auto"/>
            <w:noWrap/>
            <w:vAlign w:val="bottom"/>
            <w:hideMark/>
          </w:tcPr>
          <w:p w14:paraId="71E8AC4F"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13.2%</w:t>
            </w:r>
          </w:p>
        </w:tc>
        <w:tc>
          <w:tcPr>
            <w:tcW w:w="737" w:type="pct"/>
            <w:shd w:val="clear" w:color="auto" w:fill="auto"/>
            <w:noWrap/>
            <w:vAlign w:val="bottom"/>
            <w:hideMark/>
          </w:tcPr>
          <w:p w14:paraId="06274A4A"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16.2%</w:t>
            </w:r>
          </w:p>
        </w:tc>
        <w:tc>
          <w:tcPr>
            <w:tcW w:w="737" w:type="pct"/>
            <w:shd w:val="clear" w:color="auto" w:fill="auto"/>
            <w:noWrap/>
            <w:vAlign w:val="bottom"/>
            <w:hideMark/>
          </w:tcPr>
          <w:p w14:paraId="2C59A877"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16.8%</w:t>
            </w:r>
          </w:p>
        </w:tc>
      </w:tr>
      <w:tr w:rsidR="00075989" w:rsidRPr="00075989" w14:paraId="4292FED8" w14:textId="77777777" w:rsidTr="00075989">
        <w:trPr>
          <w:trHeight w:val="310"/>
        </w:trPr>
        <w:tc>
          <w:tcPr>
            <w:tcW w:w="2051" w:type="pct"/>
            <w:shd w:val="clear" w:color="auto" w:fill="auto"/>
            <w:noWrap/>
            <w:vAlign w:val="bottom"/>
            <w:hideMark/>
          </w:tcPr>
          <w:p w14:paraId="5AD34ACB" w14:textId="77777777" w:rsidR="00075989" w:rsidRPr="00075989" w:rsidRDefault="00075989" w:rsidP="001F053B">
            <w:pPr>
              <w:widowControl w:val="0"/>
              <w:spacing w:after="0" w:line="240" w:lineRule="auto"/>
              <w:contextualSpacing/>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Taco Bell Division</w:t>
            </w:r>
          </w:p>
        </w:tc>
        <w:tc>
          <w:tcPr>
            <w:tcW w:w="737" w:type="pct"/>
            <w:shd w:val="clear" w:color="auto" w:fill="auto"/>
            <w:noWrap/>
            <w:vAlign w:val="bottom"/>
            <w:hideMark/>
          </w:tcPr>
          <w:p w14:paraId="76E92EDA"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30.9%</w:t>
            </w:r>
          </w:p>
        </w:tc>
        <w:tc>
          <w:tcPr>
            <w:tcW w:w="737" w:type="pct"/>
            <w:shd w:val="clear" w:color="auto" w:fill="auto"/>
            <w:noWrap/>
            <w:vAlign w:val="bottom"/>
            <w:hideMark/>
          </w:tcPr>
          <w:p w14:paraId="6AB74A9E"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29.9%</w:t>
            </w:r>
          </w:p>
        </w:tc>
        <w:tc>
          <w:tcPr>
            <w:tcW w:w="737" w:type="pct"/>
            <w:shd w:val="clear" w:color="auto" w:fill="auto"/>
            <w:noWrap/>
            <w:vAlign w:val="bottom"/>
            <w:hideMark/>
          </w:tcPr>
          <w:p w14:paraId="14B67F1F"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36.3%</w:t>
            </w:r>
          </w:p>
        </w:tc>
        <w:tc>
          <w:tcPr>
            <w:tcW w:w="737" w:type="pct"/>
            <w:shd w:val="clear" w:color="auto" w:fill="auto"/>
            <w:noWrap/>
            <w:vAlign w:val="bottom"/>
            <w:hideMark/>
          </w:tcPr>
          <w:p w14:paraId="38377512" w14:textId="77777777" w:rsidR="00075989" w:rsidRPr="00075989" w:rsidRDefault="00075989"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075989">
              <w:rPr>
                <w:rFonts w:ascii="Times New Roman" w:eastAsia="Times New Roman" w:hAnsi="Times New Roman" w:cs="Times New Roman"/>
                <w:color w:val="000000"/>
                <w:sz w:val="24"/>
                <w:szCs w:val="24"/>
              </w:rPr>
              <w:t>38.8%</w:t>
            </w:r>
          </w:p>
        </w:tc>
      </w:tr>
    </w:tbl>
    <w:p w14:paraId="7419618A" w14:textId="41092613" w:rsidR="00B83D8F" w:rsidRPr="00D85929" w:rsidRDefault="00B83D8F" w:rsidP="00DC6732">
      <w:pPr>
        <w:widowControl w:val="0"/>
        <w:spacing w:after="0" w:line="480" w:lineRule="auto"/>
        <w:contextualSpacing/>
        <w:rPr>
          <w:rFonts w:ascii="Times New Roman" w:hAnsi="Times New Roman" w:cs="Times New Roman"/>
          <w:sz w:val="24"/>
          <w:szCs w:val="24"/>
        </w:rPr>
      </w:pPr>
    </w:p>
    <w:p w14:paraId="7D465C88" w14:textId="5E48E2B4" w:rsidR="009E1380" w:rsidRPr="00D85929" w:rsidRDefault="009E1380"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noProof/>
          <w:sz w:val="24"/>
          <w:szCs w:val="24"/>
        </w:rPr>
        <w:lastRenderedPageBreak/>
        <w:drawing>
          <wp:inline distT="0" distB="0" distL="0" distR="0" wp14:anchorId="2D2DED91" wp14:editId="5765FA4B">
            <wp:extent cx="6445250" cy="2254250"/>
            <wp:effectExtent l="0" t="0" r="12700" b="12700"/>
            <wp:docPr id="3" name="Chart 3">
              <a:extLst xmlns:a="http://schemas.openxmlformats.org/drawingml/2006/main">
                <a:ext uri="{FF2B5EF4-FFF2-40B4-BE49-F238E27FC236}">
                  <a16:creationId xmlns:a16="http://schemas.microsoft.com/office/drawing/2014/main" id="{7CD32F43-E734-48F1-B203-B9624CD1AD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2472EC" w14:textId="41B73956" w:rsidR="002F745C" w:rsidRPr="00D85929" w:rsidRDefault="002F745C"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Most of the capital expenditure was concentrated in the KFC division between 2016 and 2019. Taco Bell had the second highest capital expenditures while Pizza hut had the lowest. The proportion of capital spending in the KFC division has decreased since 2017 while the proportion of capital spending in the Pizza Hut and Taco Bell divisions increased; although the latter increased at a faster pace than the former. The decrease in capital spending could have caused the reduction in KFC’s revenues but it is equally likely that capital expenditures were reduced in response to the division’s reduced capacity for revenue generation.</w:t>
      </w:r>
    </w:p>
    <w:p w14:paraId="38722279" w14:textId="22BC8419" w:rsidR="00B83D8F" w:rsidRPr="00D85929" w:rsidRDefault="00B83D8F" w:rsidP="00DC6732">
      <w:pPr>
        <w:widowControl w:val="0"/>
        <w:spacing w:after="0" w:line="480" w:lineRule="auto"/>
        <w:contextualSpacing/>
        <w:rPr>
          <w:rFonts w:ascii="Times New Roman" w:hAnsi="Times New Roman" w:cs="Times New Roman"/>
          <w:b/>
          <w:bCs/>
          <w:sz w:val="24"/>
          <w:szCs w:val="24"/>
        </w:rPr>
      </w:pPr>
      <w:r w:rsidRPr="00D85929">
        <w:rPr>
          <w:rFonts w:ascii="Times New Roman" w:hAnsi="Times New Roman" w:cs="Times New Roman"/>
          <w:b/>
          <w:bCs/>
          <w:sz w:val="24"/>
          <w:szCs w:val="24"/>
        </w:rPr>
        <w:t>Question 2</w:t>
      </w:r>
    </w:p>
    <w:p w14:paraId="1790788D" w14:textId="540E3465" w:rsidR="002D1AE0" w:rsidRPr="00D85929" w:rsidRDefault="002D1AE0"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Compound annual growth = (2019 value/2016 value)</w:t>
      </w:r>
      <w:r w:rsidRPr="00D85929">
        <w:rPr>
          <w:rFonts w:ascii="Times New Roman" w:hAnsi="Times New Roman" w:cs="Times New Roman"/>
          <w:sz w:val="24"/>
          <w:szCs w:val="24"/>
          <w:vertAlign w:val="superscript"/>
        </w:rPr>
        <w:t xml:space="preserve">1/3 </w:t>
      </w:r>
      <w:r w:rsidRPr="00D85929">
        <w:rPr>
          <w:rFonts w:ascii="Times New Roman" w:hAnsi="Times New Roman" w:cs="Times New Roman"/>
          <w:sz w:val="24"/>
          <w:szCs w:val="24"/>
        </w:rPr>
        <w:t xml:space="preserve">–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676"/>
        <w:gridCol w:w="2624"/>
        <w:gridCol w:w="2483"/>
      </w:tblGrid>
      <w:tr w:rsidR="00E95A45" w:rsidRPr="00E95A45" w14:paraId="653DE60B" w14:textId="77777777" w:rsidTr="00E95A45">
        <w:trPr>
          <w:trHeight w:val="310"/>
        </w:trPr>
        <w:tc>
          <w:tcPr>
            <w:tcW w:w="1373" w:type="pct"/>
            <w:shd w:val="clear" w:color="auto" w:fill="auto"/>
            <w:noWrap/>
            <w:vAlign w:val="bottom"/>
            <w:hideMark/>
          </w:tcPr>
          <w:p w14:paraId="503A6B75" w14:textId="77777777" w:rsidR="00E95A45" w:rsidRPr="00E95A45" w:rsidRDefault="00E95A45" w:rsidP="001F053B">
            <w:pPr>
              <w:widowControl w:val="0"/>
              <w:spacing w:after="0" w:line="240" w:lineRule="auto"/>
              <w:contextualSpacing/>
              <w:rPr>
                <w:rFonts w:ascii="Times New Roman" w:eastAsia="Times New Roman" w:hAnsi="Times New Roman" w:cs="Times New Roman"/>
                <w:sz w:val="24"/>
                <w:szCs w:val="24"/>
              </w:rPr>
            </w:pPr>
          </w:p>
        </w:tc>
        <w:tc>
          <w:tcPr>
            <w:tcW w:w="896" w:type="pct"/>
            <w:shd w:val="clear" w:color="auto" w:fill="auto"/>
            <w:noWrap/>
            <w:vAlign w:val="bottom"/>
            <w:hideMark/>
          </w:tcPr>
          <w:p w14:paraId="6C3942B0" w14:textId="77777777" w:rsidR="00E95A45" w:rsidRPr="00E95A45" w:rsidRDefault="00E95A45" w:rsidP="001F053B">
            <w:pPr>
              <w:widowControl w:val="0"/>
              <w:spacing w:after="0" w:line="240" w:lineRule="auto"/>
              <w:contextualSpacing/>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Revenues</w:t>
            </w:r>
          </w:p>
        </w:tc>
        <w:tc>
          <w:tcPr>
            <w:tcW w:w="1403" w:type="pct"/>
            <w:shd w:val="clear" w:color="auto" w:fill="auto"/>
            <w:noWrap/>
            <w:vAlign w:val="bottom"/>
            <w:hideMark/>
          </w:tcPr>
          <w:p w14:paraId="6BC05C4F" w14:textId="77777777" w:rsidR="00E95A45" w:rsidRPr="00E95A45" w:rsidRDefault="00E95A45" w:rsidP="001F053B">
            <w:pPr>
              <w:widowControl w:val="0"/>
              <w:spacing w:after="0" w:line="240" w:lineRule="auto"/>
              <w:contextualSpacing/>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Operating Income</w:t>
            </w:r>
          </w:p>
        </w:tc>
        <w:tc>
          <w:tcPr>
            <w:tcW w:w="1328" w:type="pct"/>
            <w:shd w:val="clear" w:color="auto" w:fill="auto"/>
            <w:noWrap/>
            <w:vAlign w:val="bottom"/>
            <w:hideMark/>
          </w:tcPr>
          <w:p w14:paraId="4DA24500" w14:textId="77777777" w:rsidR="00E95A45" w:rsidRPr="00E95A45" w:rsidRDefault="00E95A45" w:rsidP="001F053B">
            <w:pPr>
              <w:widowControl w:val="0"/>
              <w:spacing w:after="0" w:line="240" w:lineRule="auto"/>
              <w:contextualSpacing/>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Capital Spending</w:t>
            </w:r>
          </w:p>
        </w:tc>
      </w:tr>
      <w:tr w:rsidR="00E95A45" w:rsidRPr="00E95A45" w14:paraId="2BB5881D" w14:textId="77777777" w:rsidTr="00E95A45">
        <w:trPr>
          <w:trHeight w:val="310"/>
        </w:trPr>
        <w:tc>
          <w:tcPr>
            <w:tcW w:w="1373" w:type="pct"/>
            <w:shd w:val="clear" w:color="auto" w:fill="auto"/>
            <w:noWrap/>
            <w:vAlign w:val="bottom"/>
            <w:hideMark/>
          </w:tcPr>
          <w:p w14:paraId="12AF140F" w14:textId="77777777" w:rsidR="00E95A45" w:rsidRPr="00E95A45" w:rsidRDefault="00E95A45" w:rsidP="001F053B">
            <w:pPr>
              <w:widowControl w:val="0"/>
              <w:spacing w:after="0" w:line="240" w:lineRule="auto"/>
              <w:contextualSpacing/>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KFC Division</w:t>
            </w:r>
          </w:p>
        </w:tc>
        <w:tc>
          <w:tcPr>
            <w:tcW w:w="896" w:type="pct"/>
            <w:shd w:val="clear" w:color="auto" w:fill="auto"/>
            <w:noWrap/>
            <w:vAlign w:val="bottom"/>
            <w:hideMark/>
          </w:tcPr>
          <w:p w14:paraId="61A131AE"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-8.2%</w:t>
            </w:r>
          </w:p>
        </w:tc>
        <w:tc>
          <w:tcPr>
            <w:tcW w:w="1403" w:type="pct"/>
            <w:shd w:val="clear" w:color="auto" w:fill="auto"/>
            <w:noWrap/>
            <w:vAlign w:val="bottom"/>
            <w:hideMark/>
          </w:tcPr>
          <w:p w14:paraId="7FFBBCD2"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6.5%</w:t>
            </w:r>
          </w:p>
        </w:tc>
        <w:tc>
          <w:tcPr>
            <w:tcW w:w="1328" w:type="pct"/>
            <w:shd w:val="clear" w:color="auto" w:fill="auto"/>
            <w:noWrap/>
            <w:vAlign w:val="bottom"/>
            <w:hideMark/>
          </w:tcPr>
          <w:p w14:paraId="7787B19B"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-27.9%</w:t>
            </w:r>
          </w:p>
        </w:tc>
      </w:tr>
      <w:tr w:rsidR="00E95A45" w:rsidRPr="00E95A45" w14:paraId="28585FB0" w14:textId="77777777" w:rsidTr="00E95A45">
        <w:trPr>
          <w:trHeight w:val="310"/>
        </w:trPr>
        <w:tc>
          <w:tcPr>
            <w:tcW w:w="1373" w:type="pct"/>
            <w:shd w:val="clear" w:color="auto" w:fill="auto"/>
            <w:noWrap/>
            <w:vAlign w:val="bottom"/>
            <w:hideMark/>
          </w:tcPr>
          <w:p w14:paraId="6E337D4D" w14:textId="77777777" w:rsidR="00E95A45" w:rsidRPr="00E95A45" w:rsidRDefault="00E95A45" w:rsidP="001F053B">
            <w:pPr>
              <w:widowControl w:val="0"/>
              <w:spacing w:after="0" w:line="240" w:lineRule="auto"/>
              <w:contextualSpacing/>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Pizza Hut Division</w:t>
            </w:r>
          </w:p>
        </w:tc>
        <w:tc>
          <w:tcPr>
            <w:tcW w:w="896" w:type="pct"/>
            <w:shd w:val="clear" w:color="auto" w:fill="auto"/>
            <w:noWrap/>
            <w:vAlign w:val="bottom"/>
            <w:hideMark/>
          </w:tcPr>
          <w:p w14:paraId="485AD8BA"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-2.5%</w:t>
            </w:r>
          </w:p>
        </w:tc>
        <w:tc>
          <w:tcPr>
            <w:tcW w:w="1403" w:type="pct"/>
            <w:shd w:val="clear" w:color="auto" w:fill="auto"/>
            <w:noWrap/>
            <w:vAlign w:val="bottom"/>
            <w:hideMark/>
          </w:tcPr>
          <w:p w14:paraId="603924D2"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0.2%</w:t>
            </w:r>
          </w:p>
        </w:tc>
        <w:tc>
          <w:tcPr>
            <w:tcW w:w="1328" w:type="pct"/>
            <w:shd w:val="clear" w:color="auto" w:fill="auto"/>
            <w:noWrap/>
            <w:vAlign w:val="bottom"/>
            <w:hideMark/>
          </w:tcPr>
          <w:p w14:paraId="0B46708C"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-21.8%</w:t>
            </w:r>
          </w:p>
        </w:tc>
      </w:tr>
      <w:tr w:rsidR="00E95A45" w:rsidRPr="00E95A45" w14:paraId="281726F1" w14:textId="77777777" w:rsidTr="00E95A45">
        <w:trPr>
          <w:trHeight w:val="310"/>
        </w:trPr>
        <w:tc>
          <w:tcPr>
            <w:tcW w:w="1373" w:type="pct"/>
            <w:shd w:val="clear" w:color="auto" w:fill="auto"/>
            <w:noWrap/>
            <w:vAlign w:val="bottom"/>
            <w:hideMark/>
          </w:tcPr>
          <w:p w14:paraId="615B9896" w14:textId="77777777" w:rsidR="00E95A45" w:rsidRPr="00E95A45" w:rsidRDefault="00E95A45" w:rsidP="001F053B">
            <w:pPr>
              <w:widowControl w:val="0"/>
              <w:spacing w:after="0" w:line="240" w:lineRule="auto"/>
              <w:contextualSpacing/>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Taco Bell Division</w:t>
            </w:r>
          </w:p>
        </w:tc>
        <w:tc>
          <w:tcPr>
            <w:tcW w:w="896" w:type="pct"/>
            <w:shd w:val="clear" w:color="auto" w:fill="auto"/>
            <w:noWrap/>
            <w:vAlign w:val="bottom"/>
            <w:hideMark/>
          </w:tcPr>
          <w:p w14:paraId="11F98E6F"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0.9%</w:t>
            </w:r>
          </w:p>
        </w:tc>
        <w:tc>
          <w:tcPr>
            <w:tcW w:w="1403" w:type="pct"/>
            <w:shd w:val="clear" w:color="auto" w:fill="auto"/>
            <w:noWrap/>
            <w:vAlign w:val="bottom"/>
            <w:hideMark/>
          </w:tcPr>
          <w:p w14:paraId="2DD9E6EE"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4.7%</w:t>
            </w:r>
          </w:p>
        </w:tc>
        <w:tc>
          <w:tcPr>
            <w:tcW w:w="1328" w:type="pct"/>
            <w:shd w:val="clear" w:color="auto" w:fill="auto"/>
            <w:noWrap/>
            <w:vAlign w:val="bottom"/>
            <w:hideMark/>
          </w:tcPr>
          <w:p w14:paraId="1B7D118E" w14:textId="77777777" w:rsidR="00E95A45" w:rsidRPr="00E95A45" w:rsidRDefault="00E95A45"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E95A45">
              <w:rPr>
                <w:rFonts w:ascii="Times New Roman" w:eastAsia="Times New Roman" w:hAnsi="Times New Roman" w:cs="Times New Roman"/>
                <w:color w:val="000000"/>
                <w:sz w:val="24"/>
                <w:szCs w:val="24"/>
              </w:rPr>
              <w:t>-16.8%</w:t>
            </w:r>
          </w:p>
        </w:tc>
      </w:tr>
    </w:tbl>
    <w:p w14:paraId="2EA64ECA" w14:textId="6E756FDA" w:rsidR="0057158D" w:rsidRPr="00D85929" w:rsidRDefault="00D85929"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The trends observed in the graphs are confirmed in the compound annual growth rate calculations:</w:t>
      </w:r>
      <w:r w:rsidR="0057158D">
        <w:rPr>
          <w:rFonts w:ascii="Times New Roman" w:hAnsi="Times New Roman" w:cs="Times New Roman"/>
          <w:sz w:val="24"/>
          <w:szCs w:val="24"/>
        </w:rPr>
        <w:t xml:space="preserve"> the annualized decrease in KFC’s revenues is estimated at 8.2% while Taco Bell’s revenue grew by an average of 0.9% annually. The negative revenue CAGR for the Pizza Hut division is unexpected given the increase in its revenues as a proportion of total revenues. From closer inspection of the financial information, Pizza Hut’s 2019 revenue was lower than its 2016 </w:t>
      </w:r>
      <w:r w:rsidR="0057158D">
        <w:rPr>
          <w:rFonts w:ascii="Times New Roman" w:hAnsi="Times New Roman" w:cs="Times New Roman"/>
          <w:sz w:val="24"/>
          <w:szCs w:val="24"/>
        </w:rPr>
        <w:lastRenderedPageBreak/>
        <w:t>revenue and the higher proportion is a result of the consistent decrease in overall revenue in dollar terms between 2016 and 2019.</w:t>
      </w:r>
      <w:r w:rsidR="001F053B">
        <w:rPr>
          <w:rFonts w:ascii="Times New Roman" w:hAnsi="Times New Roman" w:cs="Times New Roman"/>
          <w:sz w:val="24"/>
          <w:szCs w:val="24"/>
        </w:rPr>
        <w:t xml:space="preserve"> </w:t>
      </w:r>
      <w:r w:rsidR="0057158D">
        <w:rPr>
          <w:rFonts w:ascii="Times New Roman" w:hAnsi="Times New Roman" w:cs="Times New Roman"/>
          <w:sz w:val="24"/>
          <w:szCs w:val="24"/>
        </w:rPr>
        <w:t xml:space="preserve">Despite having the highest annual decrease in revenues, KFC had the highest annual increase in operating income followed by Taco Bell with the Pizza Hut recording a small average annual increase in operating income. </w:t>
      </w:r>
      <w:r w:rsidR="003729FF">
        <w:rPr>
          <w:rFonts w:ascii="Times New Roman" w:hAnsi="Times New Roman" w:cs="Times New Roman"/>
          <w:sz w:val="24"/>
          <w:szCs w:val="24"/>
        </w:rPr>
        <w:t xml:space="preserve">The positive and higher annual operating income growth as compared to revenue growth is indicative of tight operating cost control. </w:t>
      </w:r>
    </w:p>
    <w:p w14:paraId="26669D14" w14:textId="68C9B17F" w:rsidR="00E95A45" w:rsidRPr="00DC6732" w:rsidRDefault="00E95A45" w:rsidP="00DC6732">
      <w:pPr>
        <w:widowControl w:val="0"/>
        <w:spacing w:after="0" w:line="480" w:lineRule="auto"/>
        <w:contextualSpacing/>
        <w:rPr>
          <w:rFonts w:ascii="Times New Roman" w:hAnsi="Times New Roman" w:cs="Times New Roman"/>
          <w:b/>
          <w:bCs/>
          <w:sz w:val="24"/>
          <w:szCs w:val="24"/>
        </w:rPr>
      </w:pPr>
      <w:r w:rsidRPr="00DC6732">
        <w:rPr>
          <w:rFonts w:ascii="Times New Roman" w:hAnsi="Times New Roman" w:cs="Times New Roman"/>
          <w:b/>
          <w:bCs/>
          <w:sz w:val="24"/>
          <w:szCs w:val="24"/>
        </w:rPr>
        <w:t>Question 3</w:t>
      </w:r>
    </w:p>
    <w:p w14:paraId="34478153" w14:textId="36390DAB" w:rsidR="00DC6732" w:rsidRPr="00D85929" w:rsidRDefault="00E95A45"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a) Profit margin</w:t>
      </w:r>
    </w:p>
    <w:tbl>
      <w:tblPr>
        <w:tblW w:w="4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225"/>
        <w:gridCol w:w="2106"/>
        <w:gridCol w:w="1420"/>
      </w:tblGrid>
      <w:tr w:rsidR="001F053B" w:rsidRPr="004F6491" w14:paraId="7D7C0E12" w14:textId="77777777" w:rsidTr="001F053B">
        <w:trPr>
          <w:trHeight w:val="310"/>
        </w:trPr>
        <w:tc>
          <w:tcPr>
            <w:tcW w:w="1374" w:type="pct"/>
            <w:shd w:val="clear" w:color="auto" w:fill="auto"/>
            <w:noWrap/>
            <w:vAlign w:val="bottom"/>
            <w:hideMark/>
          </w:tcPr>
          <w:p w14:paraId="6C78C6F2" w14:textId="77777777" w:rsidR="001F053B" w:rsidRPr="004F6491" w:rsidRDefault="001F053B" w:rsidP="001F053B">
            <w:pPr>
              <w:widowControl w:val="0"/>
              <w:spacing w:after="0" w:line="240" w:lineRule="auto"/>
              <w:contextualSpacing/>
              <w:rPr>
                <w:rFonts w:ascii="Times New Roman" w:eastAsia="Times New Roman" w:hAnsi="Times New Roman" w:cs="Times New Roman"/>
                <w:sz w:val="24"/>
                <w:szCs w:val="24"/>
              </w:rPr>
            </w:pPr>
          </w:p>
        </w:tc>
        <w:tc>
          <w:tcPr>
            <w:tcW w:w="1403" w:type="pct"/>
            <w:shd w:val="clear" w:color="auto" w:fill="auto"/>
            <w:noWrap/>
            <w:vAlign w:val="bottom"/>
            <w:hideMark/>
          </w:tcPr>
          <w:p w14:paraId="59E867E4"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2017</w:t>
            </w:r>
          </w:p>
        </w:tc>
        <w:tc>
          <w:tcPr>
            <w:tcW w:w="1328" w:type="pct"/>
            <w:shd w:val="clear" w:color="auto" w:fill="auto"/>
            <w:noWrap/>
            <w:vAlign w:val="bottom"/>
            <w:hideMark/>
          </w:tcPr>
          <w:p w14:paraId="43E671C4"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2018</w:t>
            </w:r>
          </w:p>
        </w:tc>
        <w:tc>
          <w:tcPr>
            <w:tcW w:w="895" w:type="pct"/>
            <w:shd w:val="clear" w:color="auto" w:fill="auto"/>
            <w:noWrap/>
            <w:vAlign w:val="bottom"/>
            <w:hideMark/>
          </w:tcPr>
          <w:p w14:paraId="7AA7412B"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2019</w:t>
            </w:r>
          </w:p>
        </w:tc>
      </w:tr>
      <w:tr w:rsidR="001F053B" w:rsidRPr="004F6491" w14:paraId="10D28396" w14:textId="77777777" w:rsidTr="001F053B">
        <w:trPr>
          <w:trHeight w:val="310"/>
        </w:trPr>
        <w:tc>
          <w:tcPr>
            <w:tcW w:w="1374" w:type="pct"/>
            <w:shd w:val="clear" w:color="auto" w:fill="auto"/>
            <w:noWrap/>
            <w:vAlign w:val="bottom"/>
            <w:hideMark/>
          </w:tcPr>
          <w:p w14:paraId="1B34C7B2" w14:textId="77777777" w:rsidR="001F053B" w:rsidRPr="004F6491" w:rsidRDefault="001F053B"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KFC Division</w:t>
            </w:r>
          </w:p>
        </w:tc>
        <w:tc>
          <w:tcPr>
            <w:tcW w:w="1403" w:type="pct"/>
            <w:shd w:val="clear" w:color="auto" w:fill="auto"/>
            <w:noWrap/>
            <w:vAlign w:val="bottom"/>
            <w:hideMark/>
          </w:tcPr>
          <w:p w14:paraId="1E658575"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32%</w:t>
            </w:r>
          </w:p>
        </w:tc>
        <w:tc>
          <w:tcPr>
            <w:tcW w:w="1328" w:type="pct"/>
            <w:shd w:val="clear" w:color="auto" w:fill="auto"/>
            <w:noWrap/>
            <w:vAlign w:val="bottom"/>
            <w:hideMark/>
          </w:tcPr>
          <w:p w14:paraId="37BD9E5D"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36%</w:t>
            </w:r>
          </w:p>
        </w:tc>
        <w:tc>
          <w:tcPr>
            <w:tcW w:w="895" w:type="pct"/>
            <w:shd w:val="clear" w:color="auto" w:fill="auto"/>
            <w:noWrap/>
            <w:vAlign w:val="bottom"/>
            <w:hideMark/>
          </w:tcPr>
          <w:p w14:paraId="00712CDB"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42%</w:t>
            </w:r>
          </w:p>
        </w:tc>
      </w:tr>
      <w:tr w:rsidR="001F053B" w:rsidRPr="004F6491" w14:paraId="260B12D3" w14:textId="77777777" w:rsidTr="001F053B">
        <w:trPr>
          <w:trHeight w:val="320"/>
        </w:trPr>
        <w:tc>
          <w:tcPr>
            <w:tcW w:w="1374" w:type="pct"/>
            <w:shd w:val="clear" w:color="auto" w:fill="auto"/>
            <w:noWrap/>
            <w:vAlign w:val="bottom"/>
            <w:hideMark/>
          </w:tcPr>
          <w:p w14:paraId="770EC38B" w14:textId="77777777" w:rsidR="001F053B" w:rsidRPr="004F6491" w:rsidRDefault="001F053B"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Pizza Hut Division</w:t>
            </w:r>
          </w:p>
        </w:tc>
        <w:tc>
          <w:tcPr>
            <w:tcW w:w="1403" w:type="pct"/>
            <w:shd w:val="clear" w:color="auto" w:fill="auto"/>
            <w:noWrap/>
            <w:vAlign w:val="bottom"/>
            <w:hideMark/>
          </w:tcPr>
          <w:p w14:paraId="575FABEE"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11%</w:t>
            </w:r>
          </w:p>
        </w:tc>
        <w:tc>
          <w:tcPr>
            <w:tcW w:w="1328" w:type="pct"/>
            <w:shd w:val="clear" w:color="auto" w:fill="auto"/>
            <w:noWrap/>
            <w:vAlign w:val="bottom"/>
            <w:hideMark/>
          </w:tcPr>
          <w:p w14:paraId="0C53AE9E"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13%</w:t>
            </w:r>
          </w:p>
        </w:tc>
        <w:tc>
          <w:tcPr>
            <w:tcW w:w="895" w:type="pct"/>
            <w:shd w:val="clear" w:color="auto" w:fill="auto"/>
            <w:noWrap/>
            <w:vAlign w:val="bottom"/>
            <w:hideMark/>
          </w:tcPr>
          <w:p w14:paraId="015E9F1F"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15%</w:t>
            </w:r>
          </w:p>
        </w:tc>
      </w:tr>
      <w:tr w:rsidR="001F053B" w:rsidRPr="004F6491" w14:paraId="31708E66" w14:textId="77777777" w:rsidTr="001F053B">
        <w:trPr>
          <w:trHeight w:val="320"/>
        </w:trPr>
        <w:tc>
          <w:tcPr>
            <w:tcW w:w="1374" w:type="pct"/>
            <w:shd w:val="clear" w:color="auto" w:fill="auto"/>
            <w:noWrap/>
            <w:vAlign w:val="bottom"/>
            <w:hideMark/>
          </w:tcPr>
          <w:p w14:paraId="11DDE2BA" w14:textId="77777777" w:rsidR="001F053B" w:rsidRPr="004F6491" w:rsidRDefault="001F053B"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Taco Bell Division</w:t>
            </w:r>
          </w:p>
        </w:tc>
        <w:tc>
          <w:tcPr>
            <w:tcW w:w="1403" w:type="pct"/>
            <w:shd w:val="clear" w:color="auto" w:fill="auto"/>
            <w:noWrap/>
            <w:vAlign w:val="bottom"/>
            <w:hideMark/>
          </w:tcPr>
          <w:p w14:paraId="7417624F"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w:t>
            </w:r>
          </w:p>
        </w:tc>
        <w:tc>
          <w:tcPr>
            <w:tcW w:w="1328" w:type="pct"/>
            <w:shd w:val="clear" w:color="auto" w:fill="auto"/>
            <w:noWrap/>
            <w:vAlign w:val="bottom"/>
            <w:hideMark/>
          </w:tcPr>
          <w:p w14:paraId="4023604E"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24%</w:t>
            </w:r>
          </w:p>
        </w:tc>
        <w:tc>
          <w:tcPr>
            <w:tcW w:w="895" w:type="pct"/>
            <w:shd w:val="clear" w:color="auto" w:fill="auto"/>
            <w:noWrap/>
            <w:vAlign w:val="bottom"/>
            <w:hideMark/>
          </w:tcPr>
          <w:p w14:paraId="28326C46" w14:textId="77777777" w:rsidR="001F053B" w:rsidRPr="004F6491" w:rsidRDefault="001F053B"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27%</w:t>
            </w:r>
          </w:p>
        </w:tc>
      </w:tr>
    </w:tbl>
    <w:p w14:paraId="5E5260CE" w14:textId="4613B825" w:rsidR="00E95A45" w:rsidRPr="00D85929" w:rsidRDefault="00E95A45" w:rsidP="00DC6732">
      <w:pPr>
        <w:widowControl w:val="0"/>
        <w:spacing w:after="0" w:line="480" w:lineRule="auto"/>
        <w:contextualSpacing/>
        <w:rPr>
          <w:rFonts w:ascii="Times New Roman" w:hAnsi="Times New Roman" w:cs="Times New Roman"/>
          <w:sz w:val="24"/>
          <w:szCs w:val="24"/>
        </w:rPr>
      </w:pPr>
    </w:p>
    <w:p w14:paraId="7D8C3C27" w14:textId="422ABD31" w:rsidR="004F6491" w:rsidRDefault="004F6491"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noProof/>
          <w:sz w:val="24"/>
          <w:szCs w:val="24"/>
        </w:rPr>
        <w:drawing>
          <wp:inline distT="0" distB="0" distL="0" distR="0" wp14:anchorId="4A9D57E4" wp14:editId="7E3FF24C">
            <wp:extent cx="5810250" cy="2571750"/>
            <wp:effectExtent l="0" t="0" r="0" b="0"/>
            <wp:docPr id="4" name="Chart 4">
              <a:extLst xmlns:a="http://schemas.openxmlformats.org/drawingml/2006/main">
                <a:ext uri="{FF2B5EF4-FFF2-40B4-BE49-F238E27FC236}">
                  <a16:creationId xmlns:a16="http://schemas.microsoft.com/office/drawing/2014/main" id="{06AEBDD6-2E09-446D-BAC7-A10BC895B4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A8CF2C" w14:textId="5A259BAE" w:rsidR="001F053B" w:rsidRPr="00D85929" w:rsidRDefault="001F053B"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The profit margins of all three divisions have increased consistently between 2017 and 2019, which speaks to the efficiency in cost control in the three divisions. KFC has consistently outperformed Pizza Hut and Taco Bell in terms of profit margin.</w:t>
      </w:r>
    </w:p>
    <w:p w14:paraId="7B8DCF19" w14:textId="54912BCC" w:rsidR="00E95A45" w:rsidRPr="00D85929" w:rsidRDefault="00E95A45"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b) Asset turnover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676"/>
        <w:gridCol w:w="2624"/>
        <w:gridCol w:w="2483"/>
      </w:tblGrid>
      <w:tr w:rsidR="004F6491" w:rsidRPr="004F6491" w14:paraId="55734CA7" w14:textId="77777777" w:rsidTr="004F6491">
        <w:trPr>
          <w:trHeight w:val="310"/>
        </w:trPr>
        <w:tc>
          <w:tcPr>
            <w:tcW w:w="1373" w:type="pct"/>
            <w:shd w:val="clear" w:color="auto" w:fill="auto"/>
            <w:noWrap/>
            <w:vAlign w:val="bottom"/>
            <w:hideMark/>
          </w:tcPr>
          <w:p w14:paraId="289C7AC0" w14:textId="77777777" w:rsidR="004F6491" w:rsidRPr="004F6491" w:rsidRDefault="004F6491" w:rsidP="001F053B">
            <w:pPr>
              <w:widowControl w:val="0"/>
              <w:spacing w:after="0" w:line="240" w:lineRule="auto"/>
              <w:contextualSpacing/>
              <w:rPr>
                <w:rFonts w:ascii="Times New Roman" w:eastAsia="Times New Roman" w:hAnsi="Times New Roman" w:cs="Times New Roman"/>
                <w:sz w:val="24"/>
                <w:szCs w:val="24"/>
              </w:rPr>
            </w:pPr>
          </w:p>
        </w:tc>
        <w:tc>
          <w:tcPr>
            <w:tcW w:w="896" w:type="pct"/>
            <w:shd w:val="clear" w:color="auto" w:fill="auto"/>
            <w:noWrap/>
            <w:vAlign w:val="bottom"/>
            <w:hideMark/>
          </w:tcPr>
          <w:p w14:paraId="161DCE87" w14:textId="77777777" w:rsidR="004F6491" w:rsidRPr="004F6491" w:rsidRDefault="004F6491"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2017</w:t>
            </w:r>
          </w:p>
        </w:tc>
        <w:tc>
          <w:tcPr>
            <w:tcW w:w="1403" w:type="pct"/>
            <w:shd w:val="clear" w:color="auto" w:fill="auto"/>
            <w:noWrap/>
            <w:vAlign w:val="bottom"/>
            <w:hideMark/>
          </w:tcPr>
          <w:p w14:paraId="1088BC0E" w14:textId="77777777" w:rsidR="004F6491" w:rsidRPr="004F6491" w:rsidRDefault="004F6491"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2018</w:t>
            </w:r>
          </w:p>
        </w:tc>
        <w:tc>
          <w:tcPr>
            <w:tcW w:w="1328" w:type="pct"/>
            <w:shd w:val="clear" w:color="auto" w:fill="auto"/>
            <w:noWrap/>
            <w:vAlign w:val="bottom"/>
            <w:hideMark/>
          </w:tcPr>
          <w:p w14:paraId="68A3229A" w14:textId="77777777" w:rsidR="004F6491" w:rsidRPr="004F6491" w:rsidRDefault="004F6491" w:rsidP="001F053B">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2019</w:t>
            </w:r>
          </w:p>
        </w:tc>
      </w:tr>
      <w:tr w:rsidR="004F6491" w:rsidRPr="004F6491" w14:paraId="57620301" w14:textId="77777777" w:rsidTr="004F6491">
        <w:trPr>
          <w:trHeight w:val="310"/>
        </w:trPr>
        <w:tc>
          <w:tcPr>
            <w:tcW w:w="1373" w:type="pct"/>
            <w:shd w:val="clear" w:color="auto" w:fill="auto"/>
            <w:noWrap/>
            <w:vAlign w:val="bottom"/>
            <w:hideMark/>
          </w:tcPr>
          <w:p w14:paraId="43509349"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KFC Division</w:t>
            </w:r>
          </w:p>
        </w:tc>
        <w:tc>
          <w:tcPr>
            <w:tcW w:w="896" w:type="pct"/>
            <w:shd w:val="clear" w:color="auto" w:fill="auto"/>
            <w:noWrap/>
            <w:vAlign w:val="bottom"/>
            <w:hideMark/>
          </w:tcPr>
          <w:p w14:paraId="052F3196"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1.58 </w:t>
            </w:r>
          </w:p>
        </w:tc>
        <w:tc>
          <w:tcPr>
            <w:tcW w:w="1403" w:type="pct"/>
            <w:shd w:val="clear" w:color="auto" w:fill="auto"/>
            <w:noWrap/>
            <w:vAlign w:val="bottom"/>
            <w:hideMark/>
          </w:tcPr>
          <w:p w14:paraId="7E8E07B4"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1.62 </w:t>
            </w:r>
          </w:p>
        </w:tc>
        <w:tc>
          <w:tcPr>
            <w:tcW w:w="1328" w:type="pct"/>
            <w:shd w:val="clear" w:color="auto" w:fill="auto"/>
            <w:noWrap/>
            <w:vAlign w:val="bottom"/>
            <w:hideMark/>
          </w:tcPr>
          <w:p w14:paraId="29CA77C8"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1.41 </w:t>
            </w:r>
          </w:p>
        </w:tc>
      </w:tr>
      <w:tr w:rsidR="004F6491" w:rsidRPr="004F6491" w14:paraId="187120C1" w14:textId="77777777" w:rsidTr="004F6491">
        <w:trPr>
          <w:trHeight w:val="310"/>
        </w:trPr>
        <w:tc>
          <w:tcPr>
            <w:tcW w:w="1373" w:type="pct"/>
            <w:shd w:val="clear" w:color="auto" w:fill="auto"/>
            <w:noWrap/>
            <w:vAlign w:val="bottom"/>
            <w:hideMark/>
          </w:tcPr>
          <w:p w14:paraId="661A24EA"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Pizza Hut Division</w:t>
            </w:r>
          </w:p>
        </w:tc>
        <w:tc>
          <w:tcPr>
            <w:tcW w:w="896" w:type="pct"/>
            <w:shd w:val="clear" w:color="auto" w:fill="auto"/>
            <w:noWrap/>
            <w:vAlign w:val="bottom"/>
            <w:hideMark/>
          </w:tcPr>
          <w:p w14:paraId="1406FFE6"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1.41 </w:t>
            </w:r>
          </w:p>
        </w:tc>
        <w:tc>
          <w:tcPr>
            <w:tcW w:w="1403" w:type="pct"/>
            <w:shd w:val="clear" w:color="auto" w:fill="auto"/>
            <w:noWrap/>
            <w:vAlign w:val="bottom"/>
            <w:hideMark/>
          </w:tcPr>
          <w:p w14:paraId="6B93DAB1"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1.49 </w:t>
            </w:r>
          </w:p>
        </w:tc>
        <w:tc>
          <w:tcPr>
            <w:tcW w:w="1328" w:type="pct"/>
            <w:shd w:val="clear" w:color="auto" w:fill="auto"/>
            <w:noWrap/>
            <w:vAlign w:val="bottom"/>
            <w:hideMark/>
          </w:tcPr>
          <w:p w14:paraId="2239A4B9"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1.37 </w:t>
            </w:r>
          </w:p>
        </w:tc>
      </w:tr>
      <w:tr w:rsidR="004F6491" w:rsidRPr="004F6491" w14:paraId="6B63F6F8" w14:textId="77777777" w:rsidTr="004F6491">
        <w:trPr>
          <w:trHeight w:val="320"/>
        </w:trPr>
        <w:tc>
          <w:tcPr>
            <w:tcW w:w="1373" w:type="pct"/>
            <w:shd w:val="clear" w:color="auto" w:fill="auto"/>
            <w:noWrap/>
            <w:vAlign w:val="bottom"/>
            <w:hideMark/>
          </w:tcPr>
          <w:p w14:paraId="470253E5"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Taco Bell Division</w:t>
            </w:r>
          </w:p>
        </w:tc>
        <w:tc>
          <w:tcPr>
            <w:tcW w:w="896" w:type="pct"/>
            <w:shd w:val="clear" w:color="auto" w:fill="auto"/>
            <w:noWrap/>
            <w:vAlign w:val="bottom"/>
            <w:hideMark/>
          </w:tcPr>
          <w:p w14:paraId="3F59527B"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1.66 </w:t>
            </w:r>
          </w:p>
        </w:tc>
        <w:tc>
          <w:tcPr>
            <w:tcW w:w="1403" w:type="pct"/>
            <w:shd w:val="clear" w:color="auto" w:fill="auto"/>
            <w:noWrap/>
            <w:vAlign w:val="bottom"/>
            <w:hideMark/>
          </w:tcPr>
          <w:p w14:paraId="60BE0DCD"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1.90 </w:t>
            </w:r>
          </w:p>
        </w:tc>
        <w:tc>
          <w:tcPr>
            <w:tcW w:w="1328" w:type="pct"/>
            <w:shd w:val="clear" w:color="auto" w:fill="auto"/>
            <w:noWrap/>
            <w:vAlign w:val="bottom"/>
            <w:hideMark/>
          </w:tcPr>
          <w:p w14:paraId="7624587F" w14:textId="77777777" w:rsidR="004F6491" w:rsidRPr="004F6491" w:rsidRDefault="004F6491" w:rsidP="001F053B">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1.73 </w:t>
            </w:r>
          </w:p>
        </w:tc>
      </w:tr>
    </w:tbl>
    <w:p w14:paraId="604A2638" w14:textId="75068B97" w:rsidR="004F6491" w:rsidRPr="00D85929" w:rsidRDefault="004F6491" w:rsidP="00DC6732">
      <w:pPr>
        <w:widowControl w:val="0"/>
        <w:spacing w:after="0" w:line="480" w:lineRule="auto"/>
        <w:contextualSpacing/>
        <w:rPr>
          <w:rFonts w:ascii="Times New Roman" w:hAnsi="Times New Roman" w:cs="Times New Roman"/>
          <w:sz w:val="24"/>
          <w:szCs w:val="24"/>
        </w:rPr>
      </w:pPr>
    </w:p>
    <w:p w14:paraId="172617AB" w14:textId="27CAC532" w:rsidR="004F6491" w:rsidRDefault="004F6491"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noProof/>
          <w:sz w:val="24"/>
          <w:szCs w:val="24"/>
        </w:rPr>
        <w:drawing>
          <wp:inline distT="0" distB="0" distL="0" distR="0" wp14:anchorId="2EFA2377" wp14:editId="3E2F093B">
            <wp:extent cx="5683250" cy="2146300"/>
            <wp:effectExtent l="0" t="0" r="12700" b="6350"/>
            <wp:docPr id="5" name="Chart 5">
              <a:extLst xmlns:a="http://schemas.openxmlformats.org/drawingml/2006/main">
                <a:ext uri="{FF2B5EF4-FFF2-40B4-BE49-F238E27FC236}">
                  <a16:creationId xmlns:a16="http://schemas.microsoft.com/office/drawing/2014/main" id="{AED993A9-E525-4F68-98C7-D5D1C2BAD0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FBD154" w14:textId="505C7DDB" w:rsidR="00031300" w:rsidRPr="00D85929" w:rsidRDefault="00031300"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Taco Bell had the highest asset turnover between 2017 and 2019, followed by KFC. KFC’s asset turnover grew at a slower pace than the other two divisions in 2018 and decreased at a faster pace in 2019, coming close to Pizza Hut’s asset turnover. When considering the investment in assets, Taco Bell outperforms KFC in terms of revenue generation. This justifies the company’s higher capital spending in Taco Bell and Pizza Hut in recent years, as indicated by the common-size analysis of the capital expenditures.</w:t>
      </w:r>
    </w:p>
    <w:p w14:paraId="74E5576C" w14:textId="3F4A5F19" w:rsidR="00E95A45" w:rsidRPr="00D85929" w:rsidRDefault="00E95A45"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sz w:val="24"/>
          <w:szCs w:val="24"/>
        </w:rPr>
        <w:t>c) Return on assets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676"/>
        <w:gridCol w:w="2624"/>
        <w:gridCol w:w="2483"/>
      </w:tblGrid>
      <w:tr w:rsidR="004F6491" w:rsidRPr="004F6491" w14:paraId="08C4FBA7" w14:textId="77777777" w:rsidTr="004F6491">
        <w:trPr>
          <w:trHeight w:val="310"/>
        </w:trPr>
        <w:tc>
          <w:tcPr>
            <w:tcW w:w="1373" w:type="pct"/>
            <w:shd w:val="clear" w:color="auto" w:fill="auto"/>
            <w:noWrap/>
            <w:vAlign w:val="bottom"/>
            <w:hideMark/>
          </w:tcPr>
          <w:p w14:paraId="4439467D" w14:textId="77777777" w:rsidR="004F6491" w:rsidRPr="004F6491" w:rsidRDefault="004F6491" w:rsidP="00031300">
            <w:pPr>
              <w:widowControl w:val="0"/>
              <w:spacing w:after="0" w:line="240" w:lineRule="auto"/>
              <w:contextualSpacing/>
              <w:rPr>
                <w:rFonts w:ascii="Times New Roman" w:eastAsia="Times New Roman" w:hAnsi="Times New Roman" w:cs="Times New Roman"/>
                <w:sz w:val="24"/>
                <w:szCs w:val="24"/>
              </w:rPr>
            </w:pPr>
          </w:p>
        </w:tc>
        <w:tc>
          <w:tcPr>
            <w:tcW w:w="896" w:type="pct"/>
            <w:shd w:val="clear" w:color="auto" w:fill="auto"/>
            <w:noWrap/>
            <w:vAlign w:val="bottom"/>
            <w:hideMark/>
          </w:tcPr>
          <w:p w14:paraId="6452032C" w14:textId="77777777" w:rsidR="004F6491" w:rsidRPr="004F6491" w:rsidRDefault="004F6491" w:rsidP="00031300">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2017</w:t>
            </w:r>
          </w:p>
        </w:tc>
        <w:tc>
          <w:tcPr>
            <w:tcW w:w="1403" w:type="pct"/>
            <w:shd w:val="clear" w:color="auto" w:fill="auto"/>
            <w:noWrap/>
            <w:vAlign w:val="bottom"/>
            <w:hideMark/>
          </w:tcPr>
          <w:p w14:paraId="3950A00D" w14:textId="77777777" w:rsidR="004F6491" w:rsidRPr="004F6491" w:rsidRDefault="004F6491" w:rsidP="00031300">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2018</w:t>
            </w:r>
          </w:p>
        </w:tc>
        <w:tc>
          <w:tcPr>
            <w:tcW w:w="1328" w:type="pct"/>
            <w:shd w:val="clear" w:color="auto" w:fill="auto"/>
            <w:noWrap/>
            <w:vAlign w:val="bottom"/>
            <w:hideMark/>
          </w:tcPr>
          <w:p w14:paraId="6518F03B" w14:textId="77777777" w:rsidR="004F6491" w:rsidRPr="004F6491" w:rsidRDefault="004F6491" w:rsidP="00031300">
            <w:pPr>
              <w:widowControl w:val="0"/>
              <w:spacing w:after="0" w:line="240" w:lineRule="auto"/>
              <w:contextualSpacing/>
              <w:jc w:val="right"/>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2019</w:t>
            </w:r>
          </w:p>
        </w:tc>
      </w:tr>
      <w:tr w:rsidR="004F6491" w:rsidRPr="004F6491" w14:paraId="013FE9E1" w14:textId="77777777" w:rsidTr="004F6491">
        <w:trPr>
          <w:trHeight w:val="310"/>
        </w:trPr>
        <w:tc>
          <w:tcPr>
            <w:tcW w:w="1373" w:type="pct"/>
            <w:shd w:val="clear" w:color="auto" w:fill="auto"/>
            <w:noWrap/>
            <w:vAlign w:val="bottom"/>
            <w:hideMark/>
          </w:tcPr>
          <w:p w14:paraId="07F6DE95"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KFC Division</w:t>
            </w:r>
          </w:p>
        </w:tc>
        <w:tc>
          <w:tcPr>
            <w:tcW w:w="896" w:type="pct"/>
            <w:shd w:val="clear" w:color="auto" w:fill="auto"/>
            <w:noWrap/>
            <w:vAlign w:val="bottom"/>
            <w:hideMark/>
          </w:tcPr>
          <w:p w14:paraId="24C5B45A"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0.50 </w:t>
            </w:r>
          </w:p>
        </w:tc>
        <w:tc>
          <w:tcPr>
            <w:tcW w:w="1403" w:type="pct"/>
            <w:shd w:val="clear" w:color="auto" w:fill="auto"/>
            <w:noWrap/>
            <w:vAlign w:val="bottom"/>
            <w:hideMark/>
          </w:tcPr>
          <w:p w14:paraId="4FA49957"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0.59 </w:t>
            </w:r>
          </w:p>
        </w:tc>
        <w:tc>
          <w:tcPr>
            <w:tcW w:w="1328" w:type="pct"/>
            <w:shd w:val="clear" w:color="auto" w:fill="auto"/>
            <w:noWrap/>
            <w:vAlign w:val="bottom"/>
            <w:hideMark/>
          </w:tcPr>
          <w:p w14:paraId="789B84BB"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0.60 </w:t>
            </w:r>
          </w:p>
        </w:tc>
      </w:tr>
      <w:tr w:rsidR="004F6491" w:rsidRPr="004F6491" w14:paraId="35DF219A" w14:textId="77777777" w:rsidTr="004F6491">
        <w:trPr>
          <w:trHeight w:val="310"/>
        </w:trPr>
        <w:tc>
          <w:tcPr>
            <w:tcW w:w="1373" w:type="pct"/>
            <w:shd w:val="clear" w:color="auto" w:fill="auto"/>
            <w:noWrap/>
            <w:vAlign w:val="bottom"/>
            <w:hideMark/>
          </w:tcPr>
          <w:p w14:paraId="0BFC1E9B"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Pizza Hut Division</w:t>
            </w:r>
          </w:p>
        </w:tc>
        <w:tc>
          <w:tcPr>
            <w:tcW w:w="896" w:type="pct"/>
            <w:shd w:val="clear" w:color="auto" w:fill="auto"/>
            <w:noWrap/>
            <w:vAlign w:val="bottom"/>
            <w:hideMark/>
          </w:tcPr>
          <w:p w14:paraId="622EC6D2"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0.54 </w:t>
            </w:r>
          </w:p>
        </w:tc>
        <w:tc>
          <w:tcPr>
            <w:tcW w:w="1403" w:type="pct"/>
            <w:shd w:val="clear" w:color="auto" w:fill="auto"/>
            <w:noWrap/>
            <w:vAlign w:val="bottom"/>
            <w:hideMark/>
          </w:tcPr>
          <w:p w14:paraId="378E5991"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0.52 </w:t>
            </w:r>
          </w:p>
        </w:tc>
        <w:tc>
          <w:tcPr>
            <w:tcW w:w="1328" w:type="pct"/>
            <w:shd w:val="clear" w:color="auto" w:fill="auto"/>
            <w:noWrap/>
            <w:vAlign w:val="bottom"/>
            <w:hideMark/>
          </w:tcPr>
          <w:p w14:paraId="6B0EE7CA"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0.49 </w:t>
            </w:r>
          </w:p>
        </w:tc>
      </w:tr>
      <w:tr w:rsidR="004F6491" w:rsidRPr="004F6491" w14:paraId="375D89D3" w14:textId="77777777" w:rsidTr="004F6491">
        <w:trPr>
          <w:trHeight w:val="310"/>
        </w:trPr>
        <w:tc>
          <w:tcPr>
            <w:tcW w:w="1373" w:type="pct"/>
            <w:shd w:val="clear" w:color="auto" w:fill="auto"/>
            <w:noWrap/>
            <w:vAlign w:val="bottom"/>
            <w:hideMark/>
          </w:tcPr>
          <w:p w14:paraId="4C18D61B"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Taco Bell Division</w:t>
            </w:r>
          </w:p>
        </w:tc>
        <w:tc>
          <w:tcPr>
            <w:tcW w:w="896" w:type="pct"/>
            <w:shd w:val="clear" w:color="auto" w:fill="auto"/>
            <w:noWrap/>
            <w:vAlign w:val="bottom"/>
            <w:hideMark/>
          </w:tcPr>
          <w:p w14:paraId="6FDA9662"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0.55 </w:t>
            </w:r>
          </w:p>
        </w:tc>
        <w:tc>
          <w:tcPr>
            <w:tcW w:w="1403" w:type="pct"/>
            <w:shd w:val="clear" w:color="auto" w:fill="auto"/>
            <w:noWrap/>
            <w:vAlign w:val="bottom"/>
            <w:hideMark/>
          </w:tcPr>
          <w:p w14:paraId="2FC81FDE"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0.59 </w:t>
            </w:r>
          </w:p>
        </w:tc>
        <w:tc>
          <w:tcPr>
            <w:tcW w:w="1328" w:type="pct"/>
            <w:shd w:val="clear" w:color="auto" w:fill="auto"/>
            <w:noWrap/>
            <w:vAlign w:val="bottom"/>
            <w:hideMark/>
          </w:tcPr>
          <w:p w14:paraId="2B7B61A4" w14:textId="77777777" w:rsidR="004F6491" w:rsidRPr="004F6491" w:rsidRDefault="004F6491" w:rsidP="00031300">
            <w:pPr>
              <w:widowControl w:val="0"/>
              <w:spacing w:after="0" w:line="240" w:lineRule="auto"/>
              <w:contextualSpacing/>
              <w:rPr>
                <w:rFonts w:ascii="Times New Roman" w:eastAsia="Times New Roman" w:hAnsi="Times New Roman" w:cs="Times New Roman"/>
                <w:color w:val="000000"/>
                <w:sz w:val="24"/>
                <w:szCs w:val="24"/>
              </w:rPr>
            </w:pPr>
            <w:r w:rsidRPr="004F6491">
              <w:rPr>
                <w:rFonts w:ascii="Times New Roman" w:eastAsia="Times New Roman" w:hAnsi="Times New Roman" w:cs="Times New Roman"/>
                <w:color w:val="000000"/>
                <w:sz w:val="24"/>
                <w:szCs w:val="24"/>
              </w:rPr>
              <w:t xml:space="preserve">                        0.57 </w:t>
            </w:r>
          </w:p>
        </w:tc>
      </w:tr>
    </w:tbl>
    <w:p w14:paraId="4F18CFEF" w14:textId="136BB5B2" w:rsidR="00B83D8F" w:rsidRPr="00D85929" w:rsidRDefault="00B83D8F" w:rsidP="00DC6732">
      <w:pPr>
        <w:widowControl w:val="0"/>
        <w:spacing w:after="0" w:line="480" w:lineRule="auto"/>
        <w:contextualSpacing/>
        <w:rPr>
          <w:rFonts w:ascii="Times New Roman" w:hAnsi="Times New Roman" w:cs="Times New Roman"/>
          <w:sz w:val="24"/>
          <w:szCs w:val="24"/>
        </w:rPr>
      </w:pPr>
    </w:p>
    <w:p w14:paraId="262636A5" w14:textId="76F71580" w:rsidR="004F6491" w:rsidRDefault="004F6491" w:rsidP="00DC6732">
      <w:pPr>
        <w:widowControl w:val="0"/>
        <w:spacing w:after="0" w:line="480" w:lineRule="auto"/>
        <w:contextualSpacing/>
        <w:rPr>
          <w:rFonts w:ascii="Times New Roman" w:hAnsi="Times New Roman" w:cs="Times New Roman"/>
          <w:sz w:val="24"/>
          <w:szCs w:val="24"/>
        </w:rPr>
      </w:pPr>
      <w:r w:rsidRPr="00D85929">
        <w:rPr>
          <w:rFonts w:ascii="Times New Roman" w:hAnsi="Times New Roman" w:cs="Times New Roman"/>
          <w:noProof/>
          <w:sz w:val="24"/>
          <w:szCs w:val="24"/>
        </w:rPr>
        <w:lastRenderedPageBreak/>
        <w:drawing>
          <wp:inline distT="0" distB="0" distL="0" distR="0" wp14:anchorId="39C6629B" wp14:editId="4EFA64BA">
            <wp:extent cx="5099050" cy="2578100"/>
            <wp:effectExtent l="0" t="0" r="6350" b="12700"/>
            <wp:docPr id="6" name="Chart 6">
              <a:extLst xmlns:a="http://schemas.openxmlformats.org/drawingml/2006/main">
                <a:ext uri="{FF2B5EF4-FFF2-40B4-BE49-F238E27FC236}">
                  <a16:creationId xmlns:a16="http://schemas.microsoft.com/office/drawing/2014/main" id="{2066C4DD-B7E0-4C36-BC9D-895973D962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000B8DA" w14:textId="3B1670D6" w:rsidR="00031300" w:rsidRDefault="00031300"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Taco Bell’s return on assets was highest in 2017</w:t>
      </w:r>
      <w:r w:rsidR="00702B99">
        <w:rPr>
          <w:rFonts w:ascii="Times New Roman" w:hAnsi="Times New Roman" w:cs="Times New Roman"/>
          <w:sz w:val="24"/>
          <w:szCs w:val="24"/>
        </w:rPr>
        <w:t>,</w:t>
      </w:r>
      <w:r>
        <w:rPr>
          <w:rFonts w:ascii="Times New Roman" w:hAnsi="Times New Roman" w:cs="Times New Roman"/>
          <w:sz w:val="24"/>
          <w:szCs w:val="24"/>
        </w:rPr>
        <w:t xml:space="preserve"> tied </w:t>
      </w:r>
      <w:r w:rsidR="00702B99">
        <w:rPr>
          <w:rFonts w:ascii="Times New Roman" w:hAnsi="Times New Roman" w:cs="Times New Roman"/>
          <w:sz w:val="24"/>
          <w:szCs w:val="24"/>
        </w:rPr>
        <w:t>with KFC in 2018, and was second to KFC in 2019. KFC’s return on assets increased consistently since 2017 while Pizza Hut’s decreased over the same period. While Taco Bell generates higher revenue per dollar of identifiable assets than KFC, KFC remits higher operating income than Taco Bell for every dollar of identifiable assets invested.</w:t>
      </w:r>
    </w:p>
    <w:p w14:paraId="66F39A75" w14:textId="2B99F3F2" w:rsidR="00702B99" w:rsidRDefault="00702B99"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4. a) KFC is the largest segment in terms of revenue, assets, and operating income</w:t>
      </w:r>
    </w:p>
    <w:p w14:paraId="4C305AA3" w14:textId="21B6186B" w:rsidR="00702B99" w:rsidRDefault="00702B99"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b) Despite the relatively rapid decline in its revenues, KFC is still the best performing division. KFC contributes the largest proportion to the company’s revenues. It also converts a larger proportion of revenue to operating income when compared to the other three divisions</w:t>
      </w:r>
      <w:r w:rsidR="00D51C47">
        <w:rPr>
          <w:rFonts w:ascii="Times New Roman" w:hAnsi="Times New Roman" w:cs="Times New Roman"/>
          <w:sz w:val="24"/>
          <w:szCs w:val="24"/>
        </w:rPr>
        <w:t>, as indicated from the profit margin</w:t>
      </w:r>
      <w:r>
        <w:rPr>
          <w:rFonts w:ascii="Times New Roman" w:hAnsi="Times New Roman" w:cs="Times New Roman"/>
          <w:sz w:val="24"/>
          <w:szCs w:val="24"/>
        </w:rPr>
        <w:t xml:space="preserve">. </w:t>
      </w:r>
      <w:r w:rsidR="00D51C47">
        <w:rPr>
          <w:rFonts w:ascii="Times New Roman" w:hAnsi="Times New Roman" w:cs="Times New Roman"/>
          <w:sz w:val="24"/>
          <w:szCs w:val="24"/>
        </w:rPr>
        <w:t>Additionally, KFC remits the highest profit per dollar of identifiable assets invested in the division.</w:t>
      </w:r>
    </w:p>
    <w:p w14:paraId="61D38B6C" w14:textId="072078A4" w:rsidR="00D51C47" w:rsidRDefault="00D51C47"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 xml:space="preserve">c) </w:t>
      </w:r>
      <w:r w:rsidR="0063049E">
        <w:rPr>
          <w:rFonts w:ascii="Times New Roman" w:hAnsi="Times New Roman" w:cs="Times New Roman"/>
          <w:sz w:val="24"/>
          <w:szCs w:val="24"/>
        </w:rPr>
        <w:t>Given that the gain on refranchising is a special item that is not expected to recur in 2020 and beyond, the corporate/unallocated segment should not be considered when forecasting Yum Brand’s future revenues. This, combined with the decreasing trend in divisional revenues will result in a negative revenue growth projection for Yum Brand’s in the next few years.</w:t>
      </w:r>
    </w:p>
    <w:p w14:paraId="03C0D624" w14:textId="36C491B5" w:rsidR="0063049E" w:rsidRPr="00D85929" w:rsidRDefault="0063049E" w:rsidP="00DC6732">
      <w:pPr>
        <w:widowControl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d) I would need to exclude the 53</w:t>
      </w:r>
      <w:r w:rsidRPr="0063049E">
        <w:rPr>
          <w:rFonts w:ascii="Times New Roman" w:hAnsi="Times New Roman" w:cs="Times New Roman"/>
          <w:sz w:val="24"/>
          <w:szCs w:val="24"/>
          <w:vertAlign w:val="superscript"/>
        </w:rPr>
        <w:t>rd</w:t>
      </w:r>
      <w:r>
        <w:rPr>
          <w:rFonts w:ascii="Times New Roman" w:hAnsi="Times New Roman" w:cs="Times New Roman"/>
          <w:sz w:val="24"/>
          <w:szCs w:val="24"/>
        </w:rPr>
        <w:t xml:space="preserve"> week include in 2019 to ensure comparability of the financial </w:t>
      </w:r>
      <w:r>
        <w:rPr>
          <w:rFonts w:ascii="Times New Roman" w:hAnsi="Times New Roman" w:cs="Times New Roman"/>
          <w:sz w:val="24"/>
          <w:szCs w:val="24"/>
        </w:rPr>
        <w:lastRenderedPageBreak/>
        <w:t>performance. This can be done by estimating th</w:t>
      </w:r>
      <w:r w:rsidR="00350C33">
        <w:rPr>
          <w:rFonts w:ascii="Times New Roman" w:hAnsi="Times New Roman" w:cs="Times New Roman"/>
          <w:sz w:val="24"/>
          <w:szCs w:val="24"/>
        </w:rPr>
        <w:t xml:space="preserve">e </w:t>
      </w:r>
      <w:r>
        <w:rPr>
          <w:rFonts w:ascii="Times New Roman" w:hAnsi="Times New Roman" w:cs="Times New Roman"/>
          <w:sz w:val="24"/>
          <w:szCs w:val="24"/>
        </w:rPr>
        <w:t>revenues/operating income generated in the 53</w:t>
      </w:r>
      <w:r w:rsidRPr="0063049E">
        <w:rPr>
          <w:rFonts w:ascii="Times New Roman" w:hAnsi="Times New Roman" w:cs="Times New Roman"/>
          <w:sz w:val="24"/>
          <w:szCs w:val="24"/>
          <w:vertAlign w:val="superscript"/>
        </w:rPr>
        <w:t>rd</w:t>
      </w:r>
      <w:r>
        <w:rPr>
          <w:rFonts w:ascii="Times New Roman" w:hAnsi="Times New Roman" w:cs="Times New Roman"/>
          <w:sz w:val="24"/>
          <w:szCs w:val="24"/>
        </w:rPr>
        <w:t xml:space="preserve"> week</w:t>
      </w:r>
      <w:r w:rsidR="00350C33">
        <w:rPr>
          <w:rFonts w:ascii="Times New Roman" w:hAnsi="Times New Roman" w:cs="Times New Roman"/>
          <w:sz w:val="24"/>
          <w:szCs w:val="24"/>
        </w:rPr>
        <w:t xml:space="preserve"> for each division</w:t>
      </w:r>
      <w:r>
        <w:rPr>
          <w:rFonts w:ascii="Times New Roman" w:hAnsi="Times New Roman" w:cs="Times New Roman"/>
          <w:sz w:val="24"/>
          <w:szCs w:val="24"/>
        </w:rPr>
        <w:t xml:space="preserve"> and subtracting it from the</w:t>
      </w:r>
      <w:r w:rsidR="00350C33">
        <w:rPr>
          <w:rFonts w:ascii="Times New Roman" w:hAnsi="Times New Roman" w:cs="Times New Roman"/>
          <w:sz w:val="24"/>
          <w:szCs w:val="24"/>
        </w:rPr>
        <w:t xml:space="preserve"> division’s</w:t>
      </w:r>
      <w:r>
        <w:rPr>
          <w:rFonts w:ascii="Times New Roman" w:hAnsi="Times New Roman" w:cs="Times New Roman"/>
          <w:sz w:val="24"/>
          <w:szCs w:val="24"/>
        </w:rPr>
        <w:t xml:space="preserve"> </w:t>
      </w:r>
      <w:r w:rsidR="00350C33">
        <w:rPr>
          <w:rFonts w:ascii="Times New Roman" w:hAnsi="Times New Roman" w:cs="Times New Roman"/>
          <w:sz w:val="24"/>
          <w:szCs w:val="24"/>
        </w:rPr>
        <w:t>total revenue/operating income.</w:t>
      </w:r>
    </w:p>
    <w:sectPr w:rsidR="0063049E" w:rsidRPr="00D85929">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F9A4F" w14:textId="77777777" w:rsidR="00A53E6C" w:rsidRDefault="00A53E6C" w:rsidP="00573400">
      <w:pPr>
        <w:spacing w:after="0" w:line="240" w:lineRule="auto"/>
      </w:pPr>
      <w:r>
        <w:separator/>
      </w:r>
    </w:p>
  </w:endnote>
  <w:endnote w:type="continuationSeparator" w:id="0">
    <w:p w14:paraId="33EF7F0D" w14:textId="77777777" w:rsidR="00A53E6C" w:rsidRDefault="00A53E6C" w:rsidP="00573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5AA07" w14:textId="77777777" w:rsidR="00A53E6C" w:rsidRDefault="00A53E6C" w:rsidP="00573400">
      <w:pPr>
        <w:spacing w:after="0" w:line="240" w:lineRule="auto"/>
      </w:pPr>
      <w:r>
        <w:separator/>
      </w:r>
    </w:p>
  </w:footnote>
  <w:footnote w:type="continuationSeparator" w:id="0">
    <w:p w14:paraId="13D92F0A" w14:textId="77777777" w:rsidR="00A53E6C" w:rsidRDefault="00A53E6C" w:rsidP="00573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653924"/>
      <w:docPartObj>
        <w:docPartGallery w:val="Page Numbers (Top of Page)"/>
        <w:docPartUnique/>
      </w:docPartObj>
    </w:sdtPr>
    <w:sdtEndPr>
      <w:rPr>
        <w:noProof/>
      </w:rPr>
    </w:sdtEndPr>
    <w:sdtContent>
      <w:p w14:paraId="54668952" w14:textId="5EC8A705" w:rsidR="00573400" w:rsidRDefault="00573400">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0C43594" w14:textId="77777777" w:rsidR="00573400" w:rsidRDefault="005734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39C"/>
    <w:rsid w:val="00017267"/>
    <w:rsid w:val="00031300"/>
    <w:rsid w:val="00075989"/>
    <w:rsid w:val="0008226F"/>
    <w:rsid w:val="001F053B"/>
    <w:rsid w:val="002D1AE0"/>
    <w:rsid w:val="002F745C"/>
    <w:rsid w:val="00350C33"/>
    <w:rsid w:val="003729FF"/>
    <w:rsid w:val="004F6491"/>
    <w:rsid w:val="0057158D"/>
    <w:rsid w:val="00573400"/>
    <w:rsid w:val="006262D6"/>
    <w:rsid w:val="0063049E"/>
    <w:rsid w:val="006A5783"/>
    <w:rsid w:val="00702B99"/>
    <w:rsid w:val="007D34D8"/>
    <w:rsid w:val="0099039C"/>
    <w:rsid w:val="009E1380"/>
    <w:rsid w:val="00A53E6C"/>
    <w:rsid w:val="00B7404B"/>
    <w:rsid w:val="00B83D8F"/>
    <w:rsid w:val="00CA19A1"/>
    <w:rsid w:val="00D45B52"/>
    <w:rsid w:val="00D51C47"/>
    <w:rsid w:val="00D85929"/>
    <w:rsid w:val="00DC6732"/>
    <w:rsid w:val="00E95A45"/>
    <w:rsid w:val="00F14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CF6FD"/>
  <w15:chartTrackingRefBased/>
  <w15:docId w15:val="{3A65CBCA-5027-489F-BA89-21985BF9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34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3400"/>
  </w:style>
  <w:style w:type="paragraph" w:styleId="Footer">
    <w:name w:val="footer"/>
    <w:basedOn w:val="Normal"/>
    <w:link w:val="FooterChar"/>
    <w:uiPriority w:val="99"/>
    <w:unhideWhenUsed/>
    <w:rsid w:val="005734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3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46870">
      <w:bodyDiv w:val="1"/>
      <w:marLeft w:val="0"/>
      <w:marRight w:val="0"/>
      <w:marTop w:val="0"/>
      <w:marBottom w:val="0"/>
      <w:divBdr>
        <w:top w:val="none" w:sz="0" w:space="0" w:color="auto"/>
        <w:left w:val="none" w:sz="0" w:space="0" w:color="auto"/>
        <w:bottom w:val="none" w:sz="0" w:space="0" w:color="auto"/>
        <w:right w:val="none" w:sz="0" w:space="0" w:color="auto"/>
      </w:divBdr>
    </w:div>
    <w:div w:id="787312734">
      <w:bodyDiv w:val="1"/>
      <w:marLeft w:val="0"/>
      <w:marRight w:val="0"/>
      <w:marTop w:val="0"/>
      <w:marBottom w:val="0"/>
      <w:divBdr>
        <w:top w:val="none" w:sz="0" w:space="0" w:color="auto"/>
        <w:left w:val="none" w:sz="0" w:space="0" w:color="auto"/>
        <w:bottom w:val="none" w:sz="0" w:space="0" w:color="auto"/>
        <w:right w:val="none" w:sz="0" w:space="0" w:color="auto"/>
      </w:divBdr>
    </w:div>
    <w:div w:id="942495085">
      <w:bodyDiv w:val="1"/>
      <w:marLeft w:val="0"/>
      <w:marRight w:val="0"/>
      <w:marTop w:val="0"/>
      <w:marBottom w:val="0"/>
      <w:divBdr>
        <w:top w:val="none" w:sz="0" w:space="0" w:color="auto"/>
        <w:left w:val="none" w:sz="0" w:space="0" w:color="auto"/>
        <w:bottom w:val="none" w:sz="0" w:space="0" w:color="auto"/>
        <w:right w:val="none" w:sz="0" w:space="0" w:color="auto"/>
      </w:divBdr>
    </w:div>
    <w:div w:id="1016543202">
      <w:bodyDiv w:val="1"/>
      <w:marLeft w:val="0"/>
      <w:marRight w:val="0"/>
      <w:marTop w:val="0"/>
      <w:marBottom w:val="0"/>
      <w:divBdr>
        <w:top w:val="none" w:sz="0" w:space="0" w:color="auto"/>
        <w:left w:val="none" w:sz="0" w:space="0" w:color="auto"/>
        <w:bottom w:val="none" w:sz="0" w:space="0" w:color="auto"/>
        <w:right w:val="none" w:sz="0" w:space="0" w:color="auto"/>
      </w:divBdr>
    </w:div>
    <w:div w:id="1425105493">
      <w:bodyDiv w:val="1"/>
      <w:marLeft w:val="0"/>
      <w:marRight w:val="0"/>
      <w:marTop w:val="0"/>
      <w:marBottom w:val="0"/>
      <w:divBdr>
        <w:top w:val="none" w:sz="0" w:space="0" w:color="auto"/>
        <w:left w:val="none" w:sz="0" w:space="0" w:color="auto"/>
        <w:bottom w:val="none" w:sz="0" w:space="0" w:color="auto"/>
        <w:right w:val="none" w:sz="0" w:space="0" w:color="auto"/>
      </w:divBdr>
    </w:div>
    <w:div w:id="1446079836">
      <w:bodyDiv w:val="1"/>
      <w:marLeft w:val="0"/>
      <w:marRight w:val="0"/>
      <w:marTop w:val="0"/>
      <w:marBottom w:val="0"/>
      <w:divBdr>
        <w:top w:val="none" w:sz="0" w:space="0" w:color="auto"/>
        <w:left w:val="none" w:sz="0" w:space="0" w:color="auto"/>
        <w:bottom w:val="none" w:sz="0" w:space="0" w:color="auto"/>
        <w:right w:val="none" w:sz="0" w:space="0" w:color="auto"/>
      </w:divBdr>
    </w:div>
    <w:div w:id="16052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endnotes" Target="endnotes.xml"/><Relationship Id="rId10" Type="http://schemas.openxmlformats.org/officeDocument/2006/relationships/chart" Target="charts/chart5.xml"/><Relationship Id="rId4" Type="http://schemas.openxmlformats.org/officeDocument/2006/relationships/footnotes" Target="footnotes.xml"/><Relationship Id="rId9" Type="http://schemas.openxmlformats.org/officeDocument/2006/relationships/chart" Target="charts/chart4.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enovo\Downloads\mgmt_634_3._yum_2019_segments_data(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enovo\Downloads\mgmt_634_3._yum_2019_segments_data(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enovo\Downloads\mgmt_634_3._yum_2019_segments_data(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enovo\Downloads\mgmt_634_3._yum_2019_segments_data(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enovo\Downloads\mgmt_634_3._yum_2019_segments_data(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lenovo\Downloads\mgmt_634_3._yum_2019_segments_data(1).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COMPOSITION OF YUM REVENUES: 2016 - 2019</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'YUM segments'!$G$5</c:f>
              <c:strCache>
                <c:ptCount val="1"/>
                <c:pt idx="0">
                  <c:v>KFC Division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'YUM segments'!$H$4:$K$4</c:f>
              <c:numCache>
                <c:formatCode>General</c:formatCode>
                <c:ptCount val="4"/>
                <c:pt idx="0">
                  <c:v>2016</c:v>
                </c:pt>
                <c:pt idx="1">
                  <c:v>2017</c:v>
                </c:pt>
                <c:pt idx="2">
                  <c:v>2018</c:v>
                </c:pt>
                <c:pt idx="3">
                  <c:v>2019</c:v>
                </c:pt>
              </c:numCache>
            </c:numRef>
          </c:cat>
          <c:val>
            <c:numRef>
              <c:f>'YUM segments'!$H$5:$K$5</c:f>
              <c:numCache>
                <c:formatCode>0.0%</c:formatCode>
                <c:ptCount val="4"/>
                <c:pt idx="0">
                  <c:v>0.50739458779106361</c:v>
                </c:pt>
                <c:pt idx="1">
                  <c:v>0.52909152773052059</c:v>
                </c:pt>
                <c:pt idx="2">
                  <c:v>0.46483825597749651</c:v>
                </c:pt>
                <c:pt idx="3">
                  <c:v>0.44505985349294264</c:v>
                </c:pt>
              </c:numCache>
            </c:numRef>
          </c:val>
          <c:smooth val="0"/>
          <c:extLst>
            <c:ext xmlns:c16="http://schemas.microsoft.com/office/drawing/2014/chart" uri="{C3380CC4-5D6E-409C-BE32-E72D297353CC}">
              <c16:uniqueId val="{00000000-8FBF-473D-B2D1-DA5AED0FB8C0}"/>
            </c:ext>
          </c:extLst>
        </c:ser>
        <c:ser>
          <c:idx val="1"/>
          <c:order val="1"/>
          <c:tx>
            <c:strRef>
              <c:f>'YUM segments'!$G$6</c:f>
              <c:strCache>
                <c:ptCount val="1"/>
                <c:pt idx="0">
                  <c:v>Pizza Hut Division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'YUM segments'!$H$4:$K$4</c:f>
              <c:numCache>
                <c:formatCode>General</c:formatCode>
                <c:ptCount val="4"/>
                <c:pt idx="0">
                  <c:v>2016</c:v>
                </c:pt>
                <c:pt idx="1">
                  <c:v>2017</c:v>
                </c:pt>
                <c:pt idx="2">
                  <c:v>2018</c:v>
                </c:pt>
                <c:pt idx="3">
                  <c:v>2019</c:v>
                </c:pt>
              </c:numCache>
            </c:numRef>
          </c:cat>
          <c:val>
            <c:numRef>
              <c:f>'YUM segments'!$H$6:$K$6</c:f>
              <c:numCache>
                <c:formatCode>0.0%</c:formatCode>
                <c:ptCount val="4"/>
                <c:pt idx="0">
                  <c:v>0.17432347388294525</c:v>
                </c:pt>
                <c:pt idx="1">
                  <c:v>0.15192242259271863</c:v>
                </c:pt>
                <c:pt idx="2">
                  <c:v>0.17369901547116737</c:v>
                </c:pt>
                <c:pt idx="3">
                  <c:v>0.18349115597641594</c:v>
                </c:pt>
              </c:numCache>
            </c:numRef>
          </c:val>
          <c:smooth val="0"/>
          <c:extLst>
            <c:ext xmlns:c16="http://schemas.microsoft.com/office/drawing/2014/chart" uri="{C3380CC4-5D6E-409C-BE32-E72D297353CC}">
              <c16:uniqueId val="{00000001-8FBF-473D-B2D1-DA5AED0FB8C0}"/>
            </c:ext>
          </c:extLst>
        </c:ser>
        <c:ser>
          <c:idx val="2"/>
          <c:order val="2"/>
          <c:tx>
            <c:strRef>
              <c:f>'YUM segments'!$G$7</c:f>
              <c:strCache>
                <c:ptCount val="1"/>
                <c:pt idx="0">
                  <c:v>Taco Bell Division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'YUM segments'!$H$4:$K$4</c:f>
              <c:numCache>
                <c:formatCode>General</c:formatCode>
                <c:ptCount val="4"/>
                <c:pt idx="0">
                  <c:v>2016</c:v>
                </c:pt>
                <c:pt idx="1">
                  <c:v>2017</c:v>
                </c:pt>
                <c:pt idx="2">
                  <c:v>2018</c:v>
                </c:pt>
                <c:pt idx="3">
                  <c:v>2019</c:v>
                </c:pt>
              </c:numCache>
            </c:numRef>
          </c:cat>
          <c:val>
            <c:numRef>
              <c:f>'YUM segments'!$H$7:$K$7</c:f>
              <c:numCache>
                <c:formatCode>0.0%</c:formatCode>
                <c:ptCount val="4"/>
                <c:pt idx="0">
                  <c:v>0.3185966016362492</c:v>
                </c:pt>
                <c:pt idx="1">
                  <c:v>0.31983667914256547</c:v>
                </c:pt>
                <c:pt idx="2">
                  <c:v>0.36146272855133615</c:v>
                </c:pt>
                <c:pt idx="3">
                  <c:v>0.3714489905306414</c:v>
                </c:pt>
              </c:numCache>
            </c:numRef>
          </c:val>
          <c:smooth val="0"/>
          <c:extLst>
            <c:ext xmlns:c16="http://schemas.microsoft.com/office/drawing/2014/chart" uri="{C3380CC4-5D6E-409C-BE32-E72D297353CC}">
              <c16:uniqueId val="{00000002-8FBF-473D-B2D1-DA5AED0FB8C0}"/>
            </c:ext>
          </c:extLst>
        </c:ser>
        <c:dLbls>
          <c:showLegendKey val="0"/>
          <c:showVal val="0"/>
          <c:showCatName val="0"/>
          <c:showSerName val="0"/>
          <c:showPercent val="0"/>
          <c:showBubbleSize val="0"/>
        </c:dLbls>
        <c:marker val="1"/>
        <c:smooth val="0"/>
        <c:axId val="548358256"/>
        <c:axId val="548349400"/>
      </c:lineChart>
      <c:catAx>
        <c:axId val="548358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8349400"/>
        <c:crosses val="autoZero"/>
        <c:auto val="1"/>
        <c:lblAlgn val="ctr"/>
        <c:lblOffset val="100"/>
        <c:noMultiLvlLbl val="0"/>
      </c:catAx>
      <c:valAx>
        <c:axId val="54834940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8358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DIVISIONS' CONTRIBUTION TO OPERATING INCOME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'YUM segments'!$G$12</c:f>
              <c:strCache>
                <c:ptCount val="1"/>
                <c:pt idx="0">
                  <c:v>KFC Division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'YUM segments'!$H$11:$K$11</c:f>
              <c:numCache>
                <c:formatCode>General</c:formatCode>
                <c:ptCount val="4"/>
                <c:pt idx="0">
                  <c:v>2016</c:v>
                </c:pt>
                <c:pt idx="1">
                  <c:v>2017</c:v>
                </c:pt>
                <c:pt idx="2">
                  <c:v>2018</c:v>
                </c:pt>
                <c:pt idx="3">
                  <c:v>2019</c:v>
                </c:pt>
              </c:numCache>
            </c:numRef>
          </c:cat>
          <c:val>
            <c:numRef>
              <c:f>'YUM segments'!$H$12:$K$12</c:f>
              <c:numCache>
                <c:formatCode>0.0%</c:formatCode>
                <c:ptCount val="4"/>
                <c:pt idx="0">
                  <c:v>0.51783590963139126</c:v>
                </c:pt>
                <c:pt idx="1">
                  <c:v>0.35530604853314018</c:v>
                </c:pt>
                <c:pt idx="2">
                  <c:v>0.41768292682926828</c:v>
                </c:pt>
                <c:pt idx="3">
                  <c:v>0.54507772020725387</c:v>
                </c:pt>
              </c:numCache>
            </c:numRef>
          </c:val>
          <c:smooth val="0"/>
          <c:extLst>
            <c:ext xmlns:c16="http://schemas.microsoft.com/office/drawing/2014/chart" uri="{C3380CC4-5D6E-409C-BE32-E72D297353CC}">
              <c16:uniqueId val="{00000000-7A19-41C0-B555-6E1ED05FDCA9}"/>
            </c:ext>
          </c:extLst>
        </c:ser>
        <c:ser>
          <c:idx val="1"/>
          <c:order val="1"/>
          <c:tx>
            <c:strRef>
              <c:f>'YUM segments'!$G$13</c:f>
              <c:strCache>
                <c:ptCount val="1"/>
                <c:pt idx="0">
                  <c:v>Pizza Hut Division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'YUM segments'!$H$11:$K$11</c:f>
              <c:numCache>
                <c:formatCode>General</c:formatCode>
                <c:ptCount val="4"/>
                <c:pt idx="0">
                  <c:v>2016</c:v>
                </c:pt>
                <c:pt idx="1">
                  <c:v>2017</c:v>
                </c:pt>
                <c:pt idx="2">
                  <c:v>2018</c:v>
                </c:pt>
                <c:pt idx="3">
                  <c:v>2019</c:v>
                </c:pt>
              </c:numCache>
            </c:numRef>
          </c:cat>
          <c:val>
            <c:numRef>
              <c:f>'YUM segments'!$H$13:$K$13</c:f>
              <c:numCache>
                <c:formatCode>0.0%</c:formatCode>
                <c:ptCount val="4"/>
                <c:pt idx="0">
                  <c:v>0.21819262782401902</c:v>
                </c:pt>
                <c:pt idx="1">
                  <c:v>0.12350597609561753</c:v>
                </c:pt>
                <c:pt idx="2">
                  <c:v>0.15156794425087108</c:v>
                </c:pt>
                <c:pt idx="3">
                  <c:v>0.19119170984455958</c:v>
                </c:pt>
              </c:numCache>
            </c:numRef>
          </c:val>
          <c:smooth val="0"/>
          <c:extLst>
            <c:ext xmlns:c16="http://schemas.microsoft.com/office/drawing/2014/chart" uri="{C3380CC4-5D6E-409C-BE32-E72D297353CC}">
              <c16:uniqueId val="{00000001-7A19-41C0-B555-6E1ED05FDCA9}"/>
            </c:ext>
          </c:extLst>
        </c:ser>
        <c:ser>
          <c:idx val="2"/>
          <c:order val="2"/>
          <c:tx>
            <c:strRef>
              <c:f>'YUM segments'!$G$14</c:f>
              <c:strCache>
                <c:ptCount val="1"/>
                <c:pt idx="0">
                  <c:v>Taco Bell Division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'YUM segments'!$H$11:$K$11</c:f>
              <c:numCache>
                <c:formatCode>General</c:formatCode>
                <c:ptCount val="4"/>
                <c:pt idx="0">
                  <c:v>2016</c:v>
                </c:pt>
                <c:pt idx="1">
                  <c:v>2017</c:v>
                </c:pt>
                <c:pt idx="2">
                  <c:v>2018</c:v>
                </c:pt>
                <c:pt idx="3">
                  <c:v>2019</c:v>
                </c:pt>
              </c:numCache>
            </c:numRef>
          </c:cat>
          <c:val>
            <c:numRef>
              <c:f>'YUM segments'!$H$14:$K$14</c:f>
              <c:numCache>
                <c:formatCode>0.0%</c:formatCode>
                <c:ptCount val="4"/>
                <c:pt idx="0">
                  <c:v>0.35374554102259215</c:v>
                </c:pt>
                <c:pt idx="1">
                  <c:v>0.22419413256066642</c:v>
                </c:pt>
                <c:pt idx="2">
                  <c:v>0.27569686411149824</c:v>
                </c:pt>
                <c:pt idx="3">
                  <c:v>0.35388601036269429</c:v>
                </c:pt>
              </c:numCache>
            </c:numRef>
          </c:val>
          <c:smooth val="0"/>
          <c:extLst>
            <c:ext xmlns:c16="http://schemas.microsoft.com/office/drawing/2014/chart" uri="{C3380CC4-5D6E-409C-BE32-E72D297353CC}">
              <c16:uniqueId val="{00000002-7A19-41C0-B555-6E1ED05FDCA9}"/>
            </c:ext>
          </c:extLst>
        </c:ser>
        <c:dLbls>
          <c:showLegendKey val="0"/>
          <c:showVal val="0"/>
          <c:showCatName val="0"/>
          <c:showSerName val="0"/>
          <c:showPercent val="0"/>
          <c:showBubbleSize val="0"/>
        </c:dLbls>
        <c:marker val="1"/>
        <c:smooth val="0"/>
        <c:axId val="554436672"/>
        <c:axId val="554431752"/>
      </c:lineChart>
      <c:catAx>
        <c:axId val="554436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4431752"/>
        <c:crosses val="autoZero"/>
        <c:auto val="1"/>
        <c:lblAlgn val="ctr"/>
        <c:lblOffset val="100"/>
        <c:noMultiLvlLbl val="0"/>
      </c:catAx>
      <c:valAx>
        <c:axId val="55443175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4436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Capital Spending Across Divisions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'YUM segments'!$G$18</c:f>
              <c:strCache>
                <c:ptCount val="1"/>
                <c:pt idx="0">
                  <c:v>KFC Division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'YUM segments'!$H$17:$K$17</c:f>
              <c:numCache>
                <c:formatCode>General</c:formatCode>
                <c:ptCount val="4"/>
                <c:pt idx="0">
                  <c:v>2016</c:v>
                </c:pt>
                <c:pt idx="1">
                  <c:v>2017</c:v>
                </c:pt>
                <c:pt idx="2">
                  <c:v>2018</c:v>
                </c:pt>
                <c:pt idx="3">
                  <c:v>2019</c:v>
                </c:pt>
              </c:numCache>
            </c:numRef>
          </c:cat>
          <c:val>
            <c:numRef>
              <c:f>'YUM segments'!$H$18:$K$18</c:f>
              <c:numCache>
                <c:formatCode>0.0%</c:formatCode>
                <c:ptCount val="4"/>
                <c:pt idx="0">
                  <c:v>0.50585480093676816</c:v>
                </c:pt>
                <c:pt idx="1">
                  <c:v>0.55345911949685533</c:v>
                </c:pt>
                <c:pt idx="2">
                  <c:v>0.44871794871794873</c:v>
                </c:pt>
                <c:pt idx="3">
                  <c:v>0.41326530612244899</c:v>
                </c:pt>
              </c:numCache>
            </c:numRef>
          </c:val>
          <c:smooth val="0"/>
          <c:extLst>
            <c:ext xmlns:c16="http://schemas.microsoft.com/office/drawing/2014/chart" uri="{C3380CC4-5D6E-409C-BE32-E72D297353CC}">
              <c16:uniqueId val="{00000000-F282-4D9B-9348-9353EE142C23}"/>
            </c:ext>
          </c:extLst>
        </c:ser>
        <c:ser>
          <c:idx val="1"/>
          <c:order val="1"/>
          <c:tx>
            <c:strRef>
              <c:f>'YUM segments'!$G$19</c:f>
              <c:strCache>
                <c:ptCount val="1"/>
                <c:pt idx="0">
                  <c:v>Pizza Hut Division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'YUM segments'!$H$17:$K$17</c:f>
              <c:numCache>
                <c:formatCode>General</c:formatCode>
                <c:ptCount val="4"/>
                <c:pt idx="0">
                  <c:v>2016</c:v>
                </c:pt>
                <c:pt idx="1">
                  <c:v>2017</c:v>
                </c:pt>
                <c:pt idx="2">
                  <c:v>2018</c:v>
                </c:pt>
                <c:pt idx="3">
                  <c:v>2019</c:v>
                </c:pt>
              </c:numCache>
            </c:numRef>
          </c:cat>
          <c:val>
            <c:numRef>
              <c:f>'YUM segments'!$H$19:$K$19</c:f>
              <c:numCache>
                <c:formatCode>0.0%</c:formatCode>
                <c:ptCount val="4"/>
                <c:pt idx="0">
                  <c:v>0.16159250585480095</c:v>
                </c:pt>
                <c:pt idx="1">
                  <c:v>0.13207547169811321</c:v>
                </c:pt>
                <c:pt idx="2">
                  <c:v>0.1623931623931624</c:v>
                </c:pt>
                <c:pt idx="3">
                  <c:v>0.1683673469387755</c:v>
                </c:pt>
              </c:numCache>
            </c:numRef>
          </c:val>
          <c:smooth val="0"/>
          <c:extLst>
            <c:ext xmlns:c16="http://schemas.microsoft.com/office/drawing/2014/chart" uri="{C3380CC4-5D6E-409C-BE32-E72D297353CC}">
              <c16:uniqueId val="{00000001-F282-4D9B-9348-9353EE142C23}"/>
            </c:ext>
          </c:extLst>
        </c:ser>
        <c:ser>
          <c:idx val="2"/>
          <c:order val="2"/>
          <c:tx>
            <c:strRef>
              <c:f>'YUM segments'!$G$20</c:f>
              <c:strCache>
                <c:ptCount val="1"/>
                <c:pt idx="0">
                  <c:v>Taco Bell Division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'YUM segments'!$H$17:$K$17</c:f>
              <c:numCache>
                <c:formatCode>General</c:formatCode>
                <c:ptCount val="4"/>
                <c:pt idx="0">
                  <c:v>2016</c:v>
                </c:pt>
                <c:pt idx="1">
                  <c:v>2017</c:v>
                </c:pt>
                <c:pt idx="2">
                  <c:v>2018</c:v>
                </c:pt>
                <c:pt idx="3">
                  <c:v>2019</c:v>
                </c:pt>
              </c:numCache>
            </c:numRef>
          </c:cat>
          <c:val>
            <c:numRef>
              <c:f>'YUM segments'!$H$20:$K$20</c:f>
              <c:numCache>
                <c:formatCode>0.0%</c:formatCode>
                <c:ptCount val="4"/>
                <c:pt idx="0">
                  <c:v>0.30913348946135832</c:v>
                </c:pt>
                <c:pt idx="1">
                  <c:v>0.29874213836477986</c:v>
                </c:pt>
                <c:pt idx="2">
                  <c:v>0.36324786324786323</c:v>
                </c:pt>
                <c:pt idx="3">
                  <c:v>0.38775510204081631</c:v>
                </c:pt>
              </c:numCache>
            </c:numRef>
          </c:val>
          <c:smooth val="0"/>
          <c:extLst>
            <c:ext xmlns:c16="http://schemas.microsoft.com/office/drawing/2014/chart" uri="{C3380CC4-5D6E-409C-BE32-E72D297353CC}">
              <c16:uniqueId val="{00000002-F282-4D9B-9348-9353EE142C23}"/>
            </c:ext>
          </c:extLst>
        </c:ser>
        <c:dLbls>
          <c:showLegendKey val="0"/>
          <c:showVal val="0"/>
          <c:showCatName val="0"/>
          <c:showSerName val="0"/>
          <c:showPercent val="0"/>
          <c:showBubbleSize val="0"/>
        </c:dLbls>
        <c:marker val="1"/>
        <c:smooth val="0"/>
        <c:axId val="620430544"/>
        <c:axId val="620432512"/>
      </c:lineChart>
      <c:catAx>
        <c:axId val="620430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0432512"/>
        <c:crosses val="autoZero"/>
        <c:auto val="1"/>
        <c:lblAlgn val="ctr"/>
        <c:lblOffset val="100"/>
        <c:noMultiLvlLbl val="0"/>
      </c:catAx>
      <c:valAx>
        <c:axId val="62043251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0430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Trend in Profit Margin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'YUM segments'!$G$29</c:f>
              <c:strCache>
                <c:ptCount val="1"/>
                <c:pt idx="0">
                  <c:v>KFC Division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'YUM segments'!$H$28:$J$28</c:f>
              <c:numCache>
                <c:formatCode>General</c:formatCode>
                <c:ptCount val="3"/>
                <c:pt idx="0">
                  <c:v>2017</c:v>
                </c:pt>
                <c:pt idx="1">
                  <c:v>2018</c:v>
                </c:pt>
                <c:pt idx="2">
                  <c:v>2019</c:v>
                </c:pt>
              </c:numCache>
            </c:numRef>
          </c:cat>
          <c:val>
            <c:numRef>
              <c:f>'YUM segments'!$H$29:$J$29</c:f>
              <c:numCache>
                <c:formatCode>0%</c:formatCode>
                <c:ptCount val="3"/>
                <c:pt idx="0">
                  <c:v>0.31543408360128616</c:v>
                </c:pt>
                <c:pt idx="1">
                  <c:v>0.36270801815431164</c:v>
                </c:pt>
                <c:pt idx="2">
                  <c:v>0.42232035327177841</c:v>
                </c:pt>
              </c:numCache>
            </c:numRef>
          </c:val>
          <c:smooth val="0"/>
          <c:extLst>
            <c:ext xmlns:c16="http://schemas.microsoft.com/office/drawing/2014/chart" uri="{C3380CC4-5D6E-409C-BE32-E72D297353CC}">
              <c16:uniqueId val="{00000000-24DE-40F2-A906-2B8F552DA0DD}"/>
            </c:ext>
          </c:extLst>
        </c:ser>
        <c:ser>
          <c:idx val="1"/>
          <c:order val="1"/>
          <c:tx>
            <c:strRef>
              <c:f>'YUM segments'!$G$30</c:f>
              <c:strCache>
                <c:ptCount val="1"/>
                <c:pt idx="0">
                  <c:v>Pizza Hut Division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'YUM segments'!$H$28:$J$28</c:f>
              <c:numCache>
                <c:formatCode>General</c:formatCode>
                <c:ptCount val="3"/>
                <c:pt idx="0">
                  <c:v>2017</c:v>
                </c:pt>
                <c:pt idx="1">
                  <c:v>2018</c:v>
                </c:pt>
                <c:pt idx="2">
                  <c:v>2019</c:v>
                </c:pt>
              </c:numCache>
            </c:numRef>
          </c:cat>
          <c:val>
            <c:numRef>
              <c:f>'YUM segments'!$H$30:$J$30</c:f>
              <c:numCache>
                <c:formatCode>0%</c:formatCode>
                <c:ptCount val="3"/>
                <c:pt idx="0">
                  <c:v>0.10964630225080386</c:v>
                </c:pt>
                <c:pt idx="1">
                  <c:v>0.13161875945537066</c:v>
                </c:pt>
                <c:pt idx="2">
                  <c:v>0.14813327980730631</c:v>
                </c:pt>
              </c:numCache>
            </c:numRef>
          </c:val>
          <c:smooth val="0"/>
          <c:extLst>
            <c:ext xmlns:c16="http://schemas.microsoft.com/office/drawing/2014/chart" uri="{C3380CC4-5D6E-409C-BE32-E72D297353CC}">
              <c16:uniqueId val="{00000001-24DE-40F2-A906-2B8F552DA0DD}"/>
            </c:ext>
          </c:extLst>
        </c:ser>
        <c:ser>
          <c:idx val="2"/>
          <c:order val="2"/>
          <c:tx>
            <c:strRef>
              <c:f>'YUM segments'!$G$31</c:f>
              <c:strCache>
                <c:ptCount val="1"/>
                <c:pt idx="0">
                  <c:v>Taco Bell Division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'YUM segments'!$H$28:$J$28</c:f>
              <c:numCache>
                <c:formatCode>General</c:formatCode>
                <c:ptCount val="3"/>
                <c:pt idx="0">
                  <c:v>2017</c:v>
                </c:pt>
                <c:pt idx="1">
                  <c:v>2018</c:v>
                </c:pt>
                <c:pt idx="2">
                  <c:v>2019</c:v>
                </c:pt>
              </c:numCache>
            </c:numRef>
          </c:cat>
          <c:val>
            <c:numRef>
              <c:f>'YUM segments'!$H$31:$J$31</c:f>
              <c:numCache>
                <c:formatCode>0%</c:formatCode>
                <c:ptCount val="3"/>
                <c:pt idx="0">
                  <c:v>0.19903536977491962</c:v>
                </c:pt>
                <c:pt idx="1">
                  <c:v>0.23940998487140697</c:v>
                </c:pt>
                <c:pt idx="2">
                  <c:v>0.27418707346447208</c:v>
                </c:pt>
              </c:numCache>
            </c:numRef>
          </c:val>
          <c:smooth val="0"/>
          <c:extLst>
            <c:ext xmlns:c16="http://schemas.microsoft.com/office/drawing/2014/chart" uri="{C3380CC4-5D6E-409C-BE32-E72D297353CC}">
              <c16:uniqueId val="{00000002-24DE-40F2-A906-2B8F552DA0DD}"/>
            </c:ext>
          </c:extLst>
        </c:ser>
        <c:dLbls>
          <c:showLegendKey val="0"/>
          <c:showVal val="0"/>
          <c:showCatName val="0"/>
          <c:showSerName val="0"/>
          <c:showPercent val="0"/>
          <c:showBubbleSize val="0"/>
        </c:dLbls>
        <c:marker val="1"/>
        <c:smooth val="0"/>
        <c:axId val="620431856"/>
        <c:axId val="546751864"/>
      </c:lineChart>
      <c:catAx>
        <c:axId val="620431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6751864"/>
        <c:crosses val="autoZero"/>
        <c:auto val="1"/>
        <c:lblAlgn val="ctr"/>
        <c:lblOffset val="100"/>
        <c:noMultiLvlLbl val="0"/>
      </c:catAx>
      <c:valAx>
        <c:axId val="5467518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0431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Trend in Asset Turnover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'YUM segments'!$G$35</c:f>
              <c:strCache>
                <c:ptCount val="1"/>
                <c:pt idx="0">
                  <c:v>KFC Division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'YUM segments'!$H$34:$J$34</c:f>
              <c:numCache>
                <c:formatCode>General</c:formatCode>
                <c:ptCount val="3"/>
                <c:pt idx="0">
                  <c:v>2017</c:v>
                </c:pt>
                <c:pt idx="1">
                  <c:v>2018</c:v>
                </c:pt>
                <c:pt idx="2">
                  <c:v>2019</c:v>
                </c:pt>
              </c:numCache>
            </c:numRef>
          </c:cat>
          <c:val>
            <c:numRef>
              <c:f>'YUM segments'!$H$35:$J$35</c:f>
              <c:numCache>
                <c:formatCode>_(* #,##0.00_);_(* \(#,##0.00\);_(* "-"??_);_(@_)</c:formatCode>
                <c:ptCount val="3"/>
                <c:pt idx="0">
                  <c:v>1.5750822993162825</c:v>
                </c:pt>
                <c:pt idx="1">
                  <c:v>1.6161369193154034</c:v>
                </c:pt>
                <c:pt idx="2">
                  <c:v>1.4141356798183367</c:v>
                </c:pt>
              </c:numCache>
            </c:numRef>
          </c:val>
          <c:smooth val="0"/>
          <c:extLst>
            <c:ext xmlns:c16="http://schemas.microsoft.com/office/drawing/2014/chart" uri="{C3380CC4-5D6E-409C-BE32-E72D297353CC}">
              <c16:uniqueId val="{00000000-1748-4B7E-851F-518AE7301580}"/>
            </c:ext>
          </c:extLst>
        </c:ser>
        <c:ser>
          <c:idx val="1"/>
          <c:order val="1"/>
          <c:tx>
            <c:strRef>
              <c:f>'YUM segments'!$G$36</c:f>
              <c:strCache>
                <c:ptCount val="1"/>
                <c:pt idx="0">
                  <c:v>Pizza Hut Division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'YUM segments'!$H$34:$J$34</c:f>
              <c:numCache>
                <c:formatCode>General</c:formatCode>
                <c:ptCount val="3"/>
                <c:pt idx="0">
                  <c:v>2017</c:v>
                </c:pt>
                <c:pt idx="1">
                  <c:v>2018</c:v>
                </c:pt>
                <c:pt idx="2">
                  <c:v>2019</c:v>
                </c:pt>
              </c:numCache>
            </c:numRef>
          </c:cat>
          <c:val>
            <c:numRef>
              <c:f>'YUM segments'!$H$36:$J$36</c:f>
              <c:numCache>
                <c:formatCode>_(* #,##0.00_);_(* \(#,##0.00\);_(* "-"??_);_(@_)</c:formatCode>
                <c:ptCount val="3"/>
                <c:pt idx="0">
                  <c:v>1.409629044988161</c:v>
                </c:pt>
                <c:pt idx="1">
                  <c:v>1.4868322046651619</c:v>
                </c:pt>
                <c:pt idx="2">
                  <c:v>1.3675099866844207</c:v>
                </c:pt>
              </c:numCache>
            </c:numRef>
          </c:val>
          <c:smooth val="0"/>
          <c:extLst>
            <c:ext xmlns:c16="http://schemas.microsoft.com/office/drawing/2014/chart" uri="{C3380CC4-5D6E-409C-BE32-E72D297353CC}">
              <c16:uniqueId val="{00000001-1748-4B7E-851F-518AE7301580}"/>
            </c:ext>
          </c:extLst>
        </c:ser>
        <c:ser>
          <c:idx val="2"/>
          <c:order val="2"/>
          <c:tx>
            <c:strRef>
              <c:f>'YUM segments'!$G$37</c:f>
              <c:strCache>
                <c:ptCount val="1"/>
                <c:pt idx="0">
                  <c:v>Taco Bell Division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'YUM segments'!$H$34:$J$34</c:f>
              <c:numCache>
                <c:formatCode>General</c:formatCode>
                <c:ptCount val="3"/>
                <c:pt idx="0">
                  <c:v>2017</c:v>
                </c:pt>
                <c:pt idx="1">
                  <c:v>2018</c:v>
                </c:pt>
                <c:pt idx="2">
                  <c:v>2019</c:v>
                </c:pt>
              </c:numCache>
            </c:numRef>
          </c:cat>
          <c:val>
            <c:numRef>
              <c:f>'YUM segments'!$H$37:$J$37</c:f>
              <c:numCache>
                <c:formatCode>_(* #,##0.00_);_(* \(#,##0.00\);_(* "-"??_);_(@_)</c:formatCode>
                <c:ptCount val="3"/>
                <c:pt idx="0">
                  <c:v>1.6607773851590106</c:v>
                </c:pt>
                <c:pt idx="1">
                  <c:v>1.9037037037037037</c:v>
                </c:pt>
                <c:pt idx="2">
                  <c:v>1.7296173044925125</c:v>
                </c:pt>
              </c:numCache>
            </c:numRef>
          </c:val>
          <c:smooth val="0"/>
          <c:extLst>
            <c:ext xmlns:c16="http://schemas.microsoft.com/office/drawing/2014/chart" uri="{C3380CC4-5D6E-409C-BE32-E72D297353CC}">
              <c16:uniqueId val="{00000002-1748-4B7E-851F-518AE7301580}"/>
            </c:ext>
          </c:extLst>
        </c:ser>
        <c:dLbls>
          <c:showLegendKey val="0"/>
          <c:showVal val="0"/>
          <c:showCatName val="0"/>
          <c:showSerName val="0"/>
          <c:showPercent val="0"/>
          <c:showBubbleSize val="0"/>
        </c:dLbls>
        <c:marker val="1"/>
        <c:smooth val="0"/>
        <c:axId val="542704448"/>
        <c:axId val="542708056"/>
      </c:lineChart>
      <c:catAx>
        <c:axId val="542704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2708056"/>
        <c:crosses val="autoZero"/>
        <c:auto val="1"/>
        <c:lblAlgn val="ctr"/>
        <c:lblOffset val="100"/>
        <c:noMultiLvlLbl val="0"/>
      </c:catAx>
      <c:valAx>
        <c:axId val="542708056"/>
        <c:scaling>
          <c:orientation val="minMax"/>
          <c:min val="1"/>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2704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Trend in Return on Assets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'YUM segments'!$G$41</c:f>
              <c:strCache>
                <c:ptCount val="1"/>
                <c:pt idx="0">
                  <c:v>KFC Division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'YUM segments'!$H$40:$J$40</c:f>
              <c:numCache>
                <c:formatCode>General</c:formatCode>
                <c:ptCount val="3"/>
                <c:pt idx="0">
                  <c:v>2017</c:v>
                </c:pt>
                <c:pt idx="1">
                  <c:v>2018</c:v>
                </c:pt>
                <c:pt idx="2">
                  <c:v>2019</c:v>
                </c:pt>
              </c:numCache>
            </c:numRef>
          </c:cat>
          <c:val>
            <c:numRef>
              <c:f>'YUM segments'!$H$41:$J$41</c:f>
              <c:numCache>
                <c:formatCode>_(* #,##0.00_);_(* \(#,##0.00\);_(* "-"??_);_(@_)</c:formatCode>
                <c:ptCount val="3"/>
                <c:pt idx="0">
                  <c:v>0.49683464168143832</c:v>
                </c:pt>
                <c:pt idx="1">
                  <c:v>0.58618581907090461</c:v>
                </c:pt>
                <c:pt idx="2">
                  <c:v>0.59721827987510645</c:v>
                </c:pt>
              </c:numCache>
            </c:numRef>
          </c:val>
          <c:smooth val="0"/>
          <c:extLst>
            <c:ext xmlns:c16="http://schemas.microsoft.com/office/drawing/2014/chart" uri="{C3380CC4-5D6E-409C-BE32-E72D297353CC}">
              <c16:uniqueId val="{00000000-52FD-40A9-A70E-03062E74B811}"/>
            </c:ext>
          </c:extLst>
        </c:ser>
        <c:ser>
          <c:idx val="1"/>
          <c:order val="1"/>
          <c:tx>
            <c:strRef>
              <c:f>'YUM segments'!$G$42</c:f>
              <c:strCache>
                <c:ptCount val="1"/>
                <c:pt idx="0">
                  <c:v>Pizza Hut Division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'YUM segments'!$H$40:$J$40</c:f>
              <c:numCache>
                <c:formatCode>General</c:formatCode>
                <c:ptCount val="3"/>
                <c:pt idx="0">
                  <c:v>2017</c:v>
                </c:pt>
                <c:pt idx="1">
                  <c:v>2018</c:v>
                </c:pt>
                <c:pt idx="2">
                  <c:v>2019</c:v>
                </c:pt>
              </c:numCache>
            </c:numRef>
          </c:cat>
          <c:val>
            <c:numRef>
              <c:f>'YUM segments'!$H$42:$J$42</c:f>
              <c:numCache>
                <c:formatCode>_(* #,##0.00_);_(* \(#,##0.00\);_(* "-"??_);_(@_)</c:formatCode>
                <c:ptCount val="3"/>
                <c:pt idx="0">
                  <c:v>0.53827940015785325</c:v>
                </c:pt>
                <c:pt idx="1">
                  <c:v>0.52370203160270878</c:v>
                </c:pt>
                <c:pt idx="2">
                  <c:v>0.49134487350199735</c:v>
                </c:pt>
              </c:numCache>
            </c:numRef>
          </c:val>
          <c:smooth val="0"/>
          <c:extLst>
            <c:ext xmlns:c16="http://schemas.microsoft.com/office/drawing/2014/chart" uri="{C3380CC4-5D6E-409C-BE32-E72D297353CC}">
              <c16:uniqueId val="{00000001-52FD-40A9-A70E-03062E74B811}"/>
            </c:ext>
          </c:extLst>
        </c:ser>
        <c:ser>
          <c:idx val="2"/>
          <c:order val="2"/>
          <c:tx>
            <c:strRef>
              <c:f>'YUM segments'!$G$43</c:f>
              <c:strCache>
                <c:ptCount val="1"/>
                <c:pt idx="0">
                  <c:v>Taco Bell Division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'YUM segments'!$H$40:$J$40</c:f>
              <c:numCache>
                <c:formatCode>General</c:formatCode>
                <c:ptCount val="3"/>
                <c:pt idx="0">
                  <c:v>2017</c:v>
                </c:pt>
                <c:pt idx="1">
                  <c:v>2018</c:v>
                </c:pt>
                <c:pt idx="2">
                  <c:v>2019</c:v>
                </c:pt>
              </c:numCache>
            </c:numRef>
          </c:cat>
          <c:val>
            <c:numRef>
              <c:f>'YUM segments'!$H$43:$J$43</c:f>
              <c:numCache>
                <c:formatCode>_(* #,##0.00_);_(* \(#,##0.00\);_(* "-"??_);_(@_)</c:formatCode>
                <c:ptCount val="3"/>
                <c:pt idx="0">
                  <c:v>0.54681978798586572</c:v>
                </c:pt>
                <c:pt idx="1">
                  <c:v>0.58611111111111114</c:v>
                </c:pt>
                <c:pt idx="2">
                  <c:v>0.56821963394342767</c:v>
                </c:pt>
              </c:numCache>
            </c:numRef>
          </c:val>
          <c:smooth val="0"/>
          <c:extLst>
            <c:ext xmlns:c16="http://schemas.microsoft.com/office/drawing/2014/chart" uri="{C3380CC4-5D6E-409C-BE32-E72D297353CC}">
              <c16:uniqueId val="{00000002-52FD-40A9-A70E-03062E74B811}"/>
            </c:ext>
          </c:extLst>
        </c:ser>
        <c:dLbls>
          <c:showLegendKey val="0"/>
          <c:showVal val="0"/>
          <c:showCatName val="0"/>
          <c:showSerName val="0"/>
          <c:showPercent val="0"/>
          <c:showBubbleSize val="0"/>
        </c:dLbls>
        <c:marker val="1"/>
        <c:smooth val="0"/>
        <c:axId val="633131360"/>
        <c:axId val="633135624"/>
      </c:lineChart>
      <c:catAx>
        <c:axId val="633131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3135624"/>
        <c:crosses val="autoZero"/>
        <c:auto val="1"/>
        <c:lblAlgn val="ctr"/>
        <c:lblOffset val="100"/>
        <c:noMultiLvlLbl val="0"/>
      </c:catAx>
      <c:valAx>
        <c:axId val="633135624"/>
        <c:scaling>
          <c:orientation val="minMax"/>
          <c:min val="0.30000000000000004"/>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3131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8</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13</cp:revision>
  <dcterms:created xsi:type="dcterms:W3CDTF">2022-01-12T06:23:00Z</dcterms:created>
  <dcterms:modified xsi:type="dcterms:W3CDTF">2022-01-12T11:09:00Z</dcterms:modified>
</cp:coreProperties>
</file>